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5E0A0" w14:textId="77777777" w:rsidR="00230A21" w:rsidRDefault="00230A21"/>
    <w:p w14:paraId="3C386F0A" w14:textId="1AE37372" w:rsidR="007A3CEB" w:rsidRDefault="007A3CEB" w:rsidP="007A3CEB">
      <w:pPr>
        <w:rPr>
          <w:rFonts w:ascii="Arial" w:hAnsi="Arial" w:cs="Arial"/>
          <w:b/>
          <w:sz w:val="40"/>
          <w:szCs w:val="40"/>
          <w:u w:val="single"/>
        </w:rPr>
      </w:pPr>
      <w:r w:rsidRPr="007A3CEB">
        <w:rPr>
          <w:rFonts w:ascii="Arial" w:hAnsi="Arial" w:cs="Arial"/>
          <w:b/>
          <w:sz w:val="40"/>
          <w:szCs w:val="40"/>
          <w:u w:val="single"/>
        </w:rPr>
        <w:t>Jorden er blitt grønnere</w:t>
      </w:r>
    </w:p>
    <w:p w14:paraId="19454D41" w14:textId="77777777" w:rsidR="00E64C83" w:rsidRPr="00E64C83" w:rsidRDefault="00E64C83" w:rsidP="007A3CEB">
      <w:pPr>
        <w:rPr>
          <w:rFonts w:ascii="Arial" w:hAnsi="Arial" w:cs="Arial"/>
          <w:b/>
          <w:sz w:val="24"/>
          <w:szCs w:val="24"/>
          <w:u w:val="single"/>
        </w:rPr>
      </w:pPr>
    </w:p>
    <w:p w14:paraId="5C95C9E0" w14:textId="0B3A6EEA" w:rsidR="00584641" w:rsidRPr="00936E39" w:rsidRDefault="00584641" w:rsidP="00584641">
      <w:pPr>
        <w:rPr>
          <w:rFonts w:ascii="Arial" w:hAnsi="Arial" w:cs="Arial"/>
          <w:b/>
          <w:sz w:val="24"/>
          <w:szCs w:val="24"/>
        </w:rPr>
      </w:pPr>
      <w:r w:rsidRPr="00936E39">
        <w:rPr>
          <w:rFonts w:ascii="Arial" w:hAnsi="Arial" w:cs="Arial"/>
          <w:b/>
          <w:sz w:val="24"/>
          <w:szCs w:val="24"/>
        </w:rPr>
        <w:t>To fremtredende studier, en av Zhu et al. (2016) og den andre av Munier et al. (2018), har utført dyptgående analyser av årsakene til, hastigheten på, og stedene for disse miljøendringene.</w:t>
      </w:r>
    </w:p>
    <w:p w14:paraId="01241495" w14:textId="753CD5B2" w:rsidR="00584641" w:rsidRPr="00936E39" w:rsidRDefault="00584641" w:rsidP="00584641">
      <w:pPr>
        <w:rPr>
          <w:rFonts w:ascii="Arial" w:hAnsi="Arial" w:cs="Arial"/>
          <w:b/>
          <w:sz w:val="24"/>
          <w:szCs w:val="24"/>
        </w:rPr>
      </w:pPr>
      <w:r w:rsidRPr="00936E39">
        <w:rPr>
          <w:rFonts w:ascii="Arial" w:hAnsi="Arial" w:cs="Arial"/>
          <w:b/>
          <w:sz w:val="24"/>
          <w:szCs w:val="24"/>
        </w:rPr>
        <w:t>Det er hovedsakelig tre faktorer som har bidratt til at jorden har blitt grønnere de siste tiårene. Først og fremst har økningen av CO</w:t>
      </w:r>
      <w:r w:rsidRPr="00936E39">
        <w:rPr>
          <w:rFonts w:ascii="Arial" w:hAnsi="Arial" w:cs="Arial"/>
          <w:b/>
          <w:sz w:val="24"/>
          <w:szCs w:val="24"/>
          <w:vertAlign w:val="subscript"/>
        </w:rPr>
        <w:t>2</w:t>
      </w:r>
      <w:r w:rsidRPr="00936E39">
        <w:rPr>
          <w:rFonts w:ascii="Arial" w:hAnsi="Arial" w:cs="Arial"/>
          <w:b/>
          <w:sz w:val="24"/>
          <w:szCs w:val="24"/>
        </w:rPr>
        <w:t xml:space="preserve"> i atmosfæren spilt en rolle. For det andre har global oppvarming og den pågående varmebølgen også hatt en innvirkning. Til slutt har endringer i landdekke (LCC) også bidratt, selv om effekten kan variere.</w:t>
      </w:r>
      <w:r w:rsidRPr="00936E39">
        <w:rPr>
          <w:rFonts w:ascii="Arial" w:hAnsi="Arial" w:cs="Arial"/>
          <w:b/>
          <w:sz w:val="24"/>
          <w:szCs w:val="24"/>
        </w:rPr>
        <w:t xml:space="preserve"> </w:t>
      </w:r>
      <w:r w:rsidRPr="00936E39">
        <w:rPr>
          <w:rFonts w:ascii="Arial" w:hAnsi="Arial" w:cs="Arial"/>
          <w:b/>
          <w:sz w:val="24"/>
          <w:szCs w:val="24"/>
        </w:rPr>
        <w:t xml:space="preserve">For eksempel har det vært betydelig skogplanting i land som India og Kina, og tidligere skogsområder i vestlige land har begynt å vokse tilbake. Samtidig har store landområder over hele verden blitt ryddet for skog. </w:t>
      </w:r>
    </w:p>
    <w:p w14:paraId="642EFA77" w14:textId="77777777" w:rsidR="004104BF" w:rsidRPr="00936E39" w:rsidRDefault="004104BF" w:rsidP="007A3CEB">
      <w:pPr>
        <w:rPr>
          <w:rFonts w:ascii="Arial" w:hAnsi="Arial" w:cs="Arial"/>
          <w:b/>
          <w:sz w:val="24"/>
          <w:szCs w:val="24"/>
        </w:rPr>
      </w:pPr>
    </w:p>
    <w:p w14:paraId="72FADD5C" w14:textId="3DF81282" w:rsidR="007029BE" w:rsidRPr="00936E39" w:rsidRDefault="007029BE" w:rsidP="007A3CEB">
      <w:pPr>
        <w:rPr>
          <w:rFonts w:ascii="Arial" w:hAnsi="Arial" w:cs="Arial"/>
          <w:b/>
          <w:sz w:val="24"/>
          <w:szCs w:val="24"/>
          <w:u w:val="single"/>
        </w:rPr>
      </w:pPr>
      <w:r w:rsidRPr="00936E39">
        <w:rPr>
          <w:rFonts w:ascii="Arial" w:hAnsi="Arial" w:cs="Arial"/>
          <w:b/>
          <w:sz w:val="24"/>
          <w:szCs w:val="24"/>
          <w:u w:val="single"/>
        </w:rPr>
        <w:t>Leaf Area Index (LAI)</w:t>
      </w:r>
    </w:p>
    <w:p w14:paraId="31B16F64" w14:textId="77777777" w:rsidR="00ED2CAE" w:rsidRPr="00936E39" w:rsidRDefault="00ED2CAE" w:rsidP="00ED2CAE">
      <w:pPr>
        <w:pStyle w:val="Ingenmellomrom"/>
        <w:rPr>
          <w:rFonts w:ascii="Arial" w:hAnsi="Arial" w:cs="Arial"/>
          <w:b/>
          <w:sz w:val="24"/>
          <w:szCs w:val="24"/>
        </w:rPr>
      </w:pPr>
      <w:r w:rsidRPr="00936E39">
        <w:rPr>
          <w:rFonts w:ascii="Arial" w:hAnsi="Arial" w:cs="Arial"/>
          <w:b/>
          <w:sz w:val="24"/>
          <w:szCs w:val="24"/>
        </w:rPr>
        <w:t>Leaf Area Index (LAI) er en vanlig måleenhet som gir et interessant innblikk i vegetasjonstettheten. Denne indeksen beregnes ved å måle mengden stråling som sendes ut fra vegetasjonen, hvor ulike typer vegetasjon utstråler stråling med forskjellig energi og bølgelengde.</w:t>
      </w:r>
    </w:p>
    <w:p w14:paraId="7F0B29B0" w14:textId="77777777" w:rsidR="00ED2CAE" w:rsidRPr="00936E39" w:rsidRDefault="00ED2CAE" w:rsidP="00ED2CAE">
      <w:pPr>
        <w:pStyle w:val="Ingenmellomrom"/>
        <w:rPr>
          <w:rFonts w:ascii="Arial" w:hAnsi="Arial" w:cs="Arial"/>
          <w:b/>
          <w:sz w:val="24"/>
          <w:szCs w:val="24"/>
        </w:rPr>
      </w:pPr>
    </w:p>
    <w:p w14:paraId="6A4B4763" w14:textId="77777777" w:rsidR="00ED2CAE" w:rsidRPr="00936E39" w:rsidRDefault="00ED2CAE" w:rsidP="00ED2CAE">
      <w:pPr>
        <w:pStyle w:val="Ingenmellomrom"/>
        <w:rPr>
          <w:rFonts w:ascii="Arial" w:hAnsi="Arial" w:cs="Arial"/>
          <w:b/>
          <w:sz w:val="24"/>
          <w:szCs w:val="24"/>
        </w:rPr>
      </w:pPr>
      <w:r w:rsidRPr="00936E39">
        <w:rPr>
          <w:rFonts w:ascii="Arial" w:hAnsi="Arial" w:cs="Arial"/>
          <w:b/>
          <w:sz w:val="24"/>
          <w:szCs w:val="24"/>
        </w:rPr>
        <w:t>En LAI-verdi på 1,00 indikerer at en kvadratmeter av den observerte vegetasjonen ville vært fullstendig dekket av blader hvis de ble spredt ut. I skoger er det ofte flere lag med blader stablet over hverandre i et komplekst mønster, noe som tillater noe lys å nå bakken. For eksempel kan tropisk skog ha en LAI så høy som 9, mens temperert skog typisk har en LAI mellom 3 og 6. I tørre økosystemer kan LAI ligge under 1.</w:t>
      </w:r>
    </w:p>
    <w:p w14:paraId="64FE83F1" w14:textId="77777777" w:rsidR="00ED2CAE" w:rsidRPr="00936E39" w:rsidRDefault="00ED2CAE" w:rsidP="00ED2CAE">
      <w:pPr>
        <w:pStyle w:val="Ingenmellomrom"/>
        <w:rPr>
          <w:rFonts w:ascii="Arial" w:hAnsi="Arial" w:cs="Arial"/>
          <w:b/>
          <w:sz w:val="24"/>
          <w:szCs w:val="24"/>
        </w:rPr>
      </w:pPr>
    </w:p>
    <w:p w14:paraId="1318B2BC" w14:textId="49AFC92C" w:rsidR="00ED2CAE" w:rsidRPr="00936E39" w:rsidRDefault="00ED2CAE" w:rsidP="00ED2CAE">
      <w:pPr>
        <w:pStyle w:val="Ingenmellomrom"/>
        <w:rPr>
          <w:rFonts w:ascii="Arial" w:hAnsi="Arial" w:cs="Arial"/>
          <w:b/>
          <w:sz w:val="24"/>
          <w:szCs w:val="24"/>
        </w:rPr>
      </w:pPr>
      <w:r w:rsidRPr="00936E39">
        <w:rPr>
          <w:rFonts w:ascii="Arial" w:hAnsi="Arial" w:cs="Arial"/>
          <w:b/>
          <w:sz w:val="24"/>
          <w:szCs w:val="24"/>
        </w:rPr>
        <w:t>Planter med ekstremt tett vegetasjon, som overgjødslede drivhustomater mot slutten av sommeren, kan ha LAI-verdier langt over 1,0. På den annen side kan spredte gressletter ha en LAI betydelig mindre enn 1,0, noe som indikerer tilstedeværelsen av mye åpen mark. Når LAI brukes på avlingsplanter, reflekterer det ikke nødvendigvis direkte avkastningen eller produktiviteten til planten. For eksempel kan gartnere med over</w:t>
      </w:r>
      <w:r w:rsidR="00013F90" w:rsidRPr="00936E39">
        <w:rPr>
          <w:rFonts w:ascii="Arial" w:hAnsi="Arial" w:cs="Arial"/>
          <w:b/>
          <w:sz w:val="24"/>
          <w:szCs w:val="24"/>
        </w:rPr>
        <w:t>gjødslede</w:t>
      </w:r>
      <w:r w:rsidRPr="00936E39">
        <w:rPr>
          <w:rFonts w:ascii="Arial" w:hAnsi="Arial" w:cs="Arial"/>
          <w:b/>
          <w:sz w:val="24"/>
          <w:szCs w:val="24"/>
        </w:rPr>
        <w:t xml:space="preserve"> tomater ha store vegetasjonsmasser (dvs. høye LAI-verdier), men få frukt. Imidlertid, hvis den aktuelle vegetasjonen faktisk konsumeres helt som et landbruksprodukt (som salat), er LAI et direkte mål på landbruksproduktiviteten.</w:t>
      </w:r>
    </w:p>
    <w:p w14:paraId="358D8547" w14:textId="77777777" w:rsidR="00ED2CAE" w:rsidRPr="00936E39" w:rsidRDefault="00ED2CAE" w:rsidP="00ED2CAE">
      <w:pPr>
        <w:pStyle w:val="Ingenmellomrom"/>
        <w:rPr>
          <w:rFonts w:ascii="Arial" w:hAnsi="Arial" w:cs="Arial"/>
          <w:b/>
          <w:sz w:val="24"/>
          <w:szCs w:val="24"/>
        </w:rPr>
      </w:pPr>
    </w:p>
    <w:p w14:paraId="113ECA5D" w14:textId="77777777" w:rsidR="00ED2CAE" w:rsidRPr="00936E39" w:rsidRDefault="00ED2CAE" w:rsidP="00ED2CAE">
      <w:pPr>
        <w:pStyle w:val="Ingenmellomrom"/>
        <w:rPr>
          <w:rFonts w:ascii="Arial" w:hAnsi="Arial" w:cs="Arial"/>
          <w:b/>
          <w:sz w:val="24"/>
          <w:szCs w:val="24"/>
        </w:rPr>
      </w:pPr>
      <w:r w:rsidRPr="00936E39">
        <w:rPr>
          <w:rFonts w:ascii="Arial" w:hAnsi="Arial" w:cs="Arial"/>
          <w:b/>
          <w:sz w:val="24"/>
          <w:szCs w:val="24"/>
        </w:rPr>
        <w:t>Grasmark, den mest vanlige vegetasjonstypen på jorden, blir ofte brukt til jordbruk. Mange gressmarker blir enten direkte beitet, eller i tilfelle av de mest produktive, høstet for høy som deretter konsumeres når beite ikke lenger vokser nok til å støtte storfe eller sau. Derfor er raskt økende LAI-verdier på gressletter en svært nyttig indikator på jordens produktivitet.</w:t>
      </w:r>
    </w:p>
    <w:p w14:paraId="30E615E5" w14:textId="77777777" w:rsidR="00ED2CAE" w:rsidRPr="00ED2CAE" w:rsidRDefault="00ED2CAE" w:rsidP="00ED2CAE">
      <w:pPr>
        <w:pStyle w:val="Ingenmellomrom"/>
        <w:rPr>
          <w:rFonts w:ascii="Arial" w:hAnsi="Arial" w:cs="Arial"/>
          <w:b/>
          <w:sz w:val="26"/>
          <w:szCs w:val="26"/>
        </w:rPr>
      </w:pPr>
    </w:p>
    <w:p w14:paraId="4BE6C4D1" w14:textId="77777777" w:rsidR="008A068D" w:rsidRDefault="008A068D" w:rsidP="00972FF8">
      <w:pPr>
        <w:pStyle w:val="Ingenmellomrom"/>
        <w:rPr>
          <w:rFonts w:ascii="Arial" w:hAnsi="Arial" w:cs="Arial"/>
          <w:b/>
          <w:sz w:val="26"/>
          <w:szCs w:val="26"/>
        </w:rPr>
      </w:pPr>
    </w:p>
    <w:p w14:paraId="3A705FE7" w14:textId="38BCFF29" w:rsidR="008A068D" w:rsidRPr="00936E39" w:rsidRDefault="00F640FC" w:rsidP="00972FF8">
      <w:pPr>
        <w:pStyle w:val="Ingenmellomrom"/>
        <w:rPr>
          <w:rFonts w:ascii="Arial" w:hAnsi="Arial" w:cs="Arial"/>
          <w:b/>
          <w:sz w:val="24"/>
          <w:szCs w:val="24"/>
          <w:u w:val="single"/>
        </w:rPr>
      </w:pPr>
      <w:r w:rsidRPr="00936E39">
        <w:rPr>
          <w:rFonts w:ascii="Arial" w:hAnsi="Arial" w:cs="Arial"/>
          <w:b/>
          <w:sz w:val="24"/>
          <w:szCs w:val="24"/>
          <w:u w:val="single"/>
        </w:rPr>
        <w:t>LAI observasjoner globalt</w:t>
      </w:r>
    </w:p>
    <w:p w14:paraId="24F84084" w14:textId="77777777" w:rsidR="008A068D" w:rsidRDefault="008A068D" w:rsidP="00972FF8">
      <w:pPr>
        <w:pStyle w:val="Ingenmellomrom"/>
        <w:rPr>
          <w:rFonts w:ascii="Arial" w:hAnsi="Arial" w:cs="Arial"/>
          <w:b/>
          <w:sz w:val="26"/>
          <w:szCs w:val="26"/>
        </w:rPr>
      </w:pPr>
    </w:p>
    <w:tbl>
      <w:tblPr>
        <w:tblStyle w:val="Tabellrutenett"/>
        <w:tblW w:w="16160" w:type="dxa"/>
        <w:tblInd w:w="-1139" w:type="dxa"/>
        <w:tblLook w:val="04A0" w:firstRow="1" w:lastRow="0" w:firstColumn="1" w:lastColumn="0" w:noHBand="0" w:noVBand="1"/>
      </w:tblPr>
      <w:tblGrid>
        <w:gridCol w:w="10116"/>
        <w:gridCol w:w="6044"/>
      </w:tblGrid>
      <w:tr w:rsidR="00936E39" w14:paraId="2FF1579C" w14:textId="77777777" w:rsidTr="008A068D">
        <w:tc>
          <w:tcPr>
            <w:tcW w:w="9615" w:type="dxa"/>
          </w:tcPr>
          <w:p w14:paraId="0420A7DB" w14:textId="71F288A1" w:rsidR="008A068D" w:rsidRDefault="008A068D" w:rsidP="00972FF8">
            <w:pPr>
              <w:pStyle w:val="Ingenmellomrom"/>
              <w:rPr>
                <w:rFonts w:ascii="Arial" w:hAnsi="Arial" w:cs="Arial"/>
                <w:b/>
                <w:sz w:val="26"/>
                <w:szCs w:val="26"/>
              </w:rPr>
            </w:pPr>
            <w:r>
              <w:rPr>
                <w:rFonts w:ascii="Arial" w:hAnsi="Arial" w:cs="Arial"/>
                <w:b/>
                <w:noProof/>
                <w:sz w:val="26"/>
                <w:szCs w:val="26"/>
              </w:rPr>
              <w:drawing>
                <wp:inline distT="0" distB="0" distL="0" distR="0" wp14:anchorId="034A22D3" wp14:editId="3C740364">
                  <wp:extent cx="6277654" cy="3905250"/>
                  <wp:effectExtent l="0" t="0" r="8890" b="0"/>
                  <wp:docPr id="17608979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4044" cy="3921667"/>
                          </a:xfrm>
                          <a:prstGeom prst="rect">
                            <a:avLst/>
                          </a:prstGeom>
                          <a:noFill/>
                        </pic:spPr>
                      </pic:pic>
                    </a:graphicData>
                  </a:graphic>
                </wp:inline>
              </w:drawing>
            </w:r>
          </w:p>
        </w:tc>
        <w:tc>
          <w:tcPr>
            <w:tcW w:w="6545" w:type="dxa"/>
          </w:tcPr>
          <w:p w14:paraId="2A266664" w14:textId="77777777" w:rsidR="0035157F" w:rsidRPr="0035157F" w:rsidRDefault="0035157F" w:rsidP="0035157F">
            <w:pPr>
              <w:pStyle w:val="Ingenmellomrom"/>
              <w:rPr>
                <w:rFonts w:ascii="Arial" w:hAnsi="Arial" w:cs="Arial"/>
                <w:b/>
                <w:sz w:val="24"/>
                <w:szCs w:val="24"/>
              </w:rPr>
            </w:pPr>
            <w:r w:rsidRPr="0035157F">
              <w:rPr>
                <w:rFonts w:ascii="Arial" w:hAnsi="Arial" w:cs="Arial"/>
                <w:b/>
                <w:sz w:val="24"/>
                <w:szCs w:val="24"/>
              </w:rPr>
              <w:t>Ved hjelp av satellittmålinger fra perioden 1982 til 2009 har forskerteamet ledet av Zhu et al. (2016) identifisert betydelige endringer i global vegetasjon.</w:t>
            </w:r>
          </w:p>
          <w:p w14:paraId="1E32CC31" w14:textId="77777777" w:rsidR="0035157F" w:rsidRPr="0035157F" w:rsidRDefault="0035157F" w:rsidP="0035157F">
            <w:pPr>
              <w:pStyle w:val="Ingenmellomrom"/>
              <w:rPr>
                <w:rFonts w:ascii="Arial" w:hAnsi="Arial" w:cs="Arial"/>
                <w:b/>
                <w:sz w:val="24"/>
                <w:szCs w:val="24"/>
              </w:rPr>
            </w:pPr>
          </w:p>
          <w:p w14:paraId="1DD040AE" w14:textId="77777777" w:rsidR="0035157F" w:rsidRPr="0035157F" w:rsidRDefault="0035157F" w:rsidP="0035157F">
            <w:pPr>
              <w:pStyle w:val="Ingenmellomrom"/>
              <w:rPr>
                <w:rFonts w:ascii="Arial" w:hAnsi="Arial" w:cs="Arial"/>
                <w:b/>
                <w:sz w:val="24"/>
                <w:szCs w:val="24"/>
              </w:rPr>
            </w:pPr>
            <w:r w:rsidRPr="0035157F">
              <w:rPr>
                <w:rFonts w:ascii="Arial" w:hAnsi="Arial" w:cs="Arial"/>
                <w:b/>
                <w:sz w:val="24"/>
                <w:szCs w:val="24"/>
              </w:rPr>
              <w:t>Gjennom bruk av simuleringer basert på flere globale økosystemmodeller, har de funnet at effekten av CO</w:t>
            </w:r>
            <w:r w:rsidRPr="0035157F">
              <w:rPr>
                <w:rFonts w:ascii="Arial" w:hAnsi="Arial" w:cs="Arial"/>
                <w:b/>
                <w:sz w:val="24"/>
                <w:szCs w:val="24"/>
                <w:vertAlign w:val="subscript"/>
              </w:rPr>
              <w:t>2</w:t>
            </w:r>
            <w:r w:rsidRPr="0035157F">
              <w:rPr>
                <w:rFonts w:ascii="Arial" w:hAnsi="Arial" w:cs="Arial"/>
                <w:b/>
                <w:sz w:val="24"/>
                <w:szCs w:val="24"/>
              </w:rPr>
              <w:t>-gjødsling står for 70% av den observerte grønningstrenden. Dette følges av nitrogenavsetning (9%), klimaendringer (8%) og endringer i landdekke (LCC) (4%).</w:t>
            </w:r>
          </w:p>
          <w:p w14:paraId="594E149F" w14:textId="77777777" w:rsidR="0035157F" w:rsidRPr="0035157F" w:rsidRDefault="0035157F" w:rsidP="0035157F">
            <w:pPr>
              <w:pStyle w:val="Ingenmellomrom"/>
              <w:rPr>
                <w:rFonts w:ascii="Arial" w:hAnsi="Arial" w:cs="Arial"/>
                <w:b/>
                <w:sz w:val="24"/>
                <w:szCs w:val="24"/>
              </w:rPr>
            </w:pPr>
          </w:p>
          <w:p w14:paraId="237A078F" w14:textId="77777777" w:rsidR="0035157F" w:rsidRPr="0035157F" w:rsidRDefault="0035157F" w:rsidP="0035157F">
            <w:pPr>
              <w:pStyle w:val="Ingenmellomrom"/>
              <w:rPr>
                <w:rFonts w:ascii="Arial" w:hAnsi="Arial" w:cs="Arial"/>
                <w:b/>
                <w:sz w:val="24"/>
                <w:szCs w:val="24"/>
              </w:rPr>
            </w:pPr>
            <w:r w:rsidRPr="0035157F">
              <w:rPr>
                <w:rFonts w:ascii="Arial" w:hAnsi="Arial" w:cs="Arial"/>
                <w:b/>
                <w:sz w:val="24"/>
                <w:szCs w:val="24"/>
              </w:rPr>
              <w:t>Effekten av CO</w:t>
            </w:r>
            <w:r w:rsidRPr="0035157F">
              <w:rPr>
                <w:rFonts w:ascii="Arial" w:hAnsi="Arial" w:cs="Arial"/>
                <w:b/>
                <w:sz w:val="24"/>
                <w:szCs w:val="24"/>
                <w:vertAlign w:val="subscript"/>
              </w:rPr>
              <w:t>2</w:t>
            </w:r>
            <w:r w:rsidRPr="0035157F">
              <w:rPr>
                <w:rFonts w:ascii="Arial" w:hAnsi="Arial" w:cs="Arial"/>
                <w:b/>
                <w:sz w:val="24"/>
                <w:szCs w:val="24"/>
              </w:rPr>
              <w:t>-gjødsling er hovedårsaken til de grønne trendene i tropene. Klimaendringer har derimot ført til en grønnere vegetasjon i høyere breddegrader og på det tibetanske platået. Endringer i landdekke (LCC) har hatt størst innvirkning på den regionale grønningen observert i Sørøst-Kina og det østlige USA.</w:t>
            </w:r>
          </w:p>
          <w:p w14:paraId="1B80ACBA" w14:textId="77777777" w:rsidR="0035157F" w:rsidRPr="0035157F" w:rsidRDefault="0035157F" w:rsidP="0035157F">
            <w:pPr>
              <w:pStyle w:val="Ingenmellomrom"/>
              <w:rPr>
                <w:rFonts w:ascii="Arial" w:hAnsi="Arial" w:cs="Arial"/>
                <w:b/>
                <w:sz w:val="24"/>
                <w:szCs w:val="24"/>
              </w:rPr>
            </w:pPr>
          </w:p>
          <w:p w14:paraId="73D43B3C" w14:textId="5125D130" w:rsidR="00C75752" w:rsidRDefault="00C75752" w:rsidP="00972FF8">
            <w:pPr>
              <w:pStyle w:val="Ingenmellomrom"/>
              <w:rPr>
                <w:rFonts w:ascii="Arial" w:hAnsi="Arial" w:cs="Arial"/>
                <w:b/>
                <w:sz w:val="26"/>
                <w:szCs w:val="26"/>
              </w:rPr>
            </w:pPr>
          </w:p>
        </w:tc>
      </w:tr>
      <w:tr w:rsidR="00936E39" w14:paraId="0BBA67C6" w14:textId="77777777" w:rsidTr="008A068D">
        <w:tc>
          <w:tcPr>
            <w:tcW w:w="9615" w:type="dxa"/>
          </w:tcPr>
          <w:p w14:paraId="3F2A7112" w14:textId="77777777" w:rsidR="00936E39" w:rsidRPr="00936E39" w:rsidRDefault="00936E39" w:rsidP="00936E39">
            <w:pPr>
              <w:pStyle w:val="Ingenmellomrom"/>
              <w:rPr>
                <w:rFonts w:ascii="Arial" w:hAnsi="Arial" w:cs="Arial"/>
                <w:b/>
                <w:noProof/>
                <w:sz w:val="24"/>
                <w:szCs w:val="24"/>
              </w:rPr>
            </w:pPr>
            <w:r w:rsidRPr="00936E39">
              <w:rPr>
                <w:rFonts w:ascii="Arial" w:hAnsi="Arial" w:cs="Arial"/>
                <w:b/>
                <w:noProof/>
                <w:sz w:val="24"/>
                <w:szCs w:val="24"/>
              </w:rPr>
              <w:t>Trendene i Leaf Area Index (LAI) over hele kloden er bemerkelsesverdige. Det er viktig å merke seg at enhetene er i hundredeler, eller 10</w:t>
            </w:r>
            <w:r w:rsidRPr="00936E39">
              <w:rPr>
                <w:rFonts w:ascii="Arial" w:hAnsi="Arial" w:cs="Arial"/>
                <w:b/>
                <w:noProof/>
                <w:sz w:val="24"/>
                <w:szCs w:val="24"/>
                <w:vertAlign w:val="superscript"/>
              </w:rPr>
              <w:t>−2</w:t>
            </w:r>
            <w:r w:rsidRPr="00936E39">
              <w:rPr>
                <w:rFonts w:ascii="Arial" w:hAnsi="Arial" w:cs="Arial"/>
                <w:b/>
                <w:noProof/>
                <w:sz w:val="24"/>
                <w:szCs w:val="24"/>
              </w:rPr>
              <w:t>, meter per kvadratmeter. En økning på 25 på skalaen (representert ved lilla farge på høyre ende av skalaen) tilsvarer faktisk en årlig endring på 0,025 kvadratmeter per år.</w:t>
            </w:r>
          </w:p>
          <w:p w14:paraId="0B86DC2B" w14:textId="25AE5543" w:rsidR="00C75752" w:rsidRPr="00936E39" w:rsidRDefault="00936E39" w:rsidP="00936E39">
            <w:pPr>
              <w:pStyle w:val="Ingenmellomrom"/>
              <w:rPr>
                <w:rFonts w:ascii="Arial" w:hAnsi="Arial" w:cs="Arial"/>
                <w:b/>
                <w:noProof/>
                <w:sz w:val="24"/>
                <w:szCs w:val="24"/>
              </w:rPr>
            </w:pPr>
            <w:r w:rsidRPr="00936E39">
              <w:rPr>
                <w:rFonts w:ascii="Arial" w:hAnsi="Arial" w:cs="Arial"/>
                <w:b/>
                <w:noProof/>
                <w:sz w:val="24"/>
                <w:szCs w:val="24"/>
              </w:rPr>
              <w:t xml:space="preserve">Det er spesielt interessant å observere at de mest betydelige endringene i LAI finner sted over de tropiske regnskogene i Sør-Amerika, Afrika og </w:t>
            </w:r>
            <w:r>
              <w:rPr>
                <w:rFonts w:ascii="Arial" w:hAnsi="Arial" w:cs="Arial"/>
                <w:b/>
                <w:noProof/>
                <w:sz w:val="24"/>
                <w:szCs w:val="24"/>
              </w:rPr>
              <w:t>Asia</w:t>
            </w:r>
            <w:r w:rsidRPr="00936E39">
              <w:rPr>
                <w:rFonts w:ascii="Arial" w:hAnsi="Arial" w:cs="Arial"/>
                <w:b/>
                <w:noProof/>
                <w:sz w:val="24"/>
                <w:szCs w:val="24"/>
              </w:rPr>
              <w:t>. Disse regionene viser en markant økning i vegetasjonstetthet, noe som indikerer betydelige endringer i disse økosystemene.</w:t>
            </w:r>
          </w:p>
        </w:tc>
        <w:tc>
          <w:tcPr>
            <w:tcW w:w="6545" w:type="dxa"/>
          </w:tcPr>
          <w:p w14:paraId="4FB91DD6" w14:textId="77777777" w:rsidR="00C75752" w:rsidRDefault="00C75752" w:rsidP="00972FF8">
            <w:pPr>
              <w:pStyle w:val="Ingenmellomrom"/>
              <w:rPr>
                <w:rFonts w:ascii="Arial" w:hAnsi="Arial" w:cs="Arial"/>
                <w:b/>
                <w:sz w:val="26"/>
                <w:szCs w:val="26"/>
              </w:rPr>
            </w:pPr>
          </w:p>
        </w:tc>
      </w:tr>
    </w:tbl>
    <w:p w14:paraId="58A941DC" w14:textId="77777777" w:rsidR="008A068D" w:rsidRDefault="008A068D" w:rsidP="00972FF8">
      <w:pPr>
        <w:pStyle w:val="Ingenmellomrom"/>
        <w:rPr>
          <w:rFonts w:ascii="Arial" w:hAnsi="Arial" w:cs="Arial"/>
          <w:b/>
          <w:sz w:val="26"/>
          <w:szCs w:val="26"/>
        </w:rPr>
      </w:pPr>
    </w:p>
    <w:p w14:paraId="5D08AEB8" w14:textId="77777777" w:rsidR="008A068D" w:rsidRDefault="008A068D" w:rsidP="00972FF8">
      <w:pPr>
        <w:pStyle w:val="Ingenmellomrom"/>
        <w:rPr>
          <w:rFonts w:ascii="Arial" w:hAnsi="Arial" w:cs="Arial"/>
          <w:b/>
          <w:sz w:val="26"/>
          <w:szCs w:val="26"/>
        </w:rPr>
      </w:pPr>
    </w:p>
    <w:p w14:paraId="75D36D72" w14:textId="77777777" w:rsidR="00E64C83" w:rsidRDefault="00E64C83" w:rsidP="00972FF8">
      <w:pPr>
        <w:pStyle w:val="Ingenmellomrom"/>
        <w:rPr>
          <w:rFonts w:ascii="Arial" w:hAnsi="Arial" w:cs="Arial"/>
          <w:b/>
          <w:sz w:val="26"/>
          <w:szCs w:val="26"/>
        </w:rPr>
      </w:pPr>
    </w:p>
    <w:p w14:paraId="5936BA51" w14:textId="77777777" w:rsidR="00E64C83" w:rsidRDefault="00E64C83" w:rsidP="00972FF8">
      <w:pPr>
        <w:pStyle w:val="Ingenmellomrom"/>
        <w:rPr>
          <w:rFonts w:ascii="Arial" w:hAnsi="Arial" w:cs="Arial"/>
          <w:b/>
          <w:sz w:val="26"/>
          <w:szCs w:val="26"/>
        </w:rPr>
      </w:pPr>
    </w:p>
    <w:p w14:paraId="42C83B58" w14:textId="5B059391" w:rsidR="008A068D" w:rsidRPr="00936E39" w:rsidRDefault="00F640FC" w:rsidP="00972FF8">
      <w:pPr>
        <w:pStyle w:val="Ingenmellomrom"/>
        <w:rPr>
          <w:rFonts w:ascii="Arial" w:hAnsi="Arial" w:cs="Arial"/>
          <w:b/>
          <w:sz w:val="24"/>
          <w:szCs w:val="24"/>
          <w:u w:val="single"/>
        </w:rPr>
      </w:pPr>
      <w:r w:rsidRPr="00936E39">
        <w:rPr>
          <w:rFonts w:ascii="Arial" w:hAnsi="Arial" w:cs="Arial"/>
          <w:b/>
          <w:sz w:val="24"/>
          <w:szCs w:val="24"/>
          <w:u w:val="single"/>
        </w:rPr>
        <w:lastRenderedPageBreak/>
        <w:t>LAI observasjoner globalt</w:t>
      </w:r>
      <w:r w:rsidRPr="00936E39">
        <w:rPr>
          <w:rFonts w:ascii="Arial" w:hAnsi="Arial" w:cs="Arial"/>
          <w:b/>
          <w:sz w:val="24"/>
          <w:szCs w:val="24"/>
          <w:u w:val="single"/>
        </w:rPr>
        <w:t xml:space="preserve"> utfra vegetasjonstype</w:t>
      </w:r>
    </w:p>
    <w:p w14:paraId="713CB287" w14:textId="77777777" w:rsidR="00F640FC" w:rsidRPr="00936E39" w:rsidRDefault="00F640FC" w:rsidP="00972FF8">
      <w:pPr>
        <w:pStyle w:val="Ingenmellomrom"/>
        <w:rPr>
          <w:rFonts w:ascii="Arial" w:hAnsi="Arial" w:cs="Arial"/>
          <w:b/>
          <w:sz w:val="24"/>
          <w:szCs w:val="24"/>
        </w:rPr>
      </w:pPr>
    </w:p>
    <w:p w14:paraId="03541262" w14:textId="77777777" w:rsidR="00E64C83" w:rsidRPr="00E64C83" w:rsidRDefault="00E64C83" w:rsidP="00E64C83">
      <w:pPr>
        <w:pStyle w:val="Ingenmellomrom"/>
        <w:rPr>
          <w:rFonts w:ascii="Arial" w:hAnsi="Arial" w:cs="Arial"/>
          <w:b/>
          <w:sz w:val="24"/>
          <w:szCs w:val="24"/>
        </w:rPr>
      </w:pPr>
      <w:r w:rsidRPr="00E64C83">
        <w:rPr>
          <w:rFonts w:ascii="Arial" w:hAnsi="Arial" w:cs="Arial"/>
          <w:b/>
          <w:sz w:val="24"/>
          <w:szCs w:val="24"/>
        </w:rPr>
        <w:t>En nylig publisert artikkel av Simon Munier og hans kolleger ved Frankrikes Centre National de Recherches Météorologiques (Nasjonalt senter for meteorologisk forskning) har analysert satellitt LAI-data for forskjellige vegetasjonstyper fra perioden 1999-2015. Denne analysen har gjort det mulig for forskerne å bestemme mengden av vegetasjonstilvekst over tid, basert på vegetasjonstypen.</w:t>
      </w:r>
    </w:p>
    <w:p w14:paraId="4B51F7DE" w14:textId="77777777" w:rsidR="00E64C83" w:rsidRPr="00E64C83" w:rsidRDefault="00E64C83" w:rsidP="00E64C83">
      <w:pPr>
        <w:pStyle w:val="Ingenmellomrom"/>
        <w:rPr>
          <w:rFonts w:ascii="Arial" w:hAnsi="Arial" w:cs="Arial"/>
          <w:b/>
          <w:sz w:val="24"/>
          <w:szCs w:val="24"/>
        </w:rPr>
      </w:pPr>
    </w:p>
    <w:p w14:paraId="70D801F1" w14:textId="2396A12D" w:rsidR="00812EAF" w:rsidRPr="00E64C83" w:rsidRDefault="00E64C83" w:rsidP="00812EAF">
      <w:pPr>
        <w:pStyle w:val="Ingenmellomrom"/>
        <w:rPr>
          <w:rFonts w:ascii="Arial" w:hAnsi="Arial" w:cs="Arial"/>
          <w:b/>
          <w:sz w:val="24"/>
          <w:szCs w:val="24"/>
        </w:rPr>
      </w:pPr>
      <w:r w:rsidRPr="00E64C83">
        <w:rPr>
          <w:rFonts w:ascii="Arial" w:hAnsi="Arial" w:cs="Arial"/>
          <w:b/>
          <w:sz w:val="24"/>
          <w:szCs w:val="24"/>
        </w:rPr>
        <w:t>Muniers forskerteam kategoriserte satellittdataene i seks forskjellige vegetasjonstyper: løvskog, barskog, eviggrønne skogtyper, sommeravlinger, vinteravlinger og gressletter. Deres 17-årige tidsserie gir ikke bare gjennomsnittlige LAI-verdier, men også innsikt i hvordan disse verdiene har endret seg over tid. Dette gir en verdifull forståelse av hvordan ulike vegetasjonstyper har utviklet seg og endret seg over nesten to tiår.</w:t>
      </w:r>
    </w:p>
    <w:p w14:paraId="6484440B" w14:textId="77777777" w:rsidR="00F640FC" w:rsidRDefault="00F640FC" w:rsidP="00972FF8">
      <w:pPr>
        <w:pStyle w:val="Ingenmellomrom"/>
        <w:rPr>
          <w:rFonts w:ascii="Arial" w:hAnsi="Arial" w:cs="Arial"/>
          <w:b/>
          <w:sz w:val="26"/>
          <w:szCs w:val="26"/>
        </w:rPr>
      </w:pPr>
    </w:p>
    <w:tbl>
      <w:tblPr>
        <w:tblStyle w:val="Tabellrutenett"/>
        <w:tblW w:w="16019" w:type="dxa"/>
        <w:tblInd w:w="-998" w:type="dxa"/>
        <w:tblLook w:val="04A0" w:firstRow="1" w:lastRow="0" w:firstColumn="1" w:lastColumn="0" w:noHBand="0" w:noVBand="1"/>
      </w:tblPr>
      <w:tblGrid>
        <w:gridCol w:w="7995"/>
        <w:gridCol w:w="8024"/>
      </w:tblGrid>
      <w:tr w:rsidR="0075094E" w14:paraId="1A170F7E" w14:textId="77777777" w:rsidTr="0075094E">
        <w:tc>
          <w:tcPr>
            <w:tcW w:w="7995" w:type="dxa"/>
          </w:tcPr>
          <w:p w14:paraId="4248F224" w14:textId="7A8BA9AA" w:rsidR="00F640FC" w:rsidRDefault="0075094E" w:rsidP="00972FF8">
            <w:pPr>
              <w:pStyle w:val="Ingenmellomrom"/>
              <w:rPr>
                <w:rFonts w:ascii="Arial" w:hAnsi="Arial" w:cs="Arial"/>
                <w:b/>
                <w:sz w:val="26"/>
                <w:szCs w:val="26"/>
              </w:rPr>
            </w:pPr>
            <w:r>
              <w:rPr>
                <w:rFonts w:ascii="Arial" w:hAnsi="Arial" w:cs="Arial"/>
                <w:b/>
                <w:noProof/>
                <w:sz w:val="26"/>
                <w:szCs w:val="26"/>
              </w:rPr>
              <w:drawing>
                <wp:inline distT="0" distB="0" distL="0" distR="0" wp14:anchorId="3A3BB890" wp14:editId="3EDD2058">
                  <wp:extent cx="4916170" cy="7424834"/>
                  <wp:effectExtent l="0" t="0" r="0" b="5080"/>
                  <wp:docPr id="68868270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64532" cy="7497875"/>
                          </a:xfrm>
                          <a:prstGeom prst="rect">
                            <a:avLst/>
                          </a:prstGeom>
                          <a:noFill/>
                        </pic:spPr>
                      </pic:pic>
                    </a:graphicData>
                  </a:graphic>
                </wp:inline>
              </w:drawing>
            </w:r>
          </w:p>
        </w:tc>
        <w:tc>
          <w:tcPr>
            <w:tcW w:w="8024" w:type="dxa"/>
          </w:tcPr>
          <w:p w14:paraId="037E29D2" w14:textId="45173D97" w:rsidR="00F640FC" w:rsidRDefault="0075094E" w:rsidP="00972FF8">
            <w:pPr>
              <w:pStyle w:val="Ingenmellomrom"/>
              <w:rPr>
                <w:rFonts w:ascii="Arial" w:hAnsi="Arial" w:cs="Arial"/>
                <w:b/>
                <w:sz w:val="26"/>
                <w:szCs w:val="26"/>
              </w:rPr>
            </w:pPr>
            <w:r>
              <w:rPr>
                <w:rFonts w:ascii="Arial" w:hAnsi="Arial" w:cs="Arial"/>
                <w:b/>
                <w:noProof/>
                <w:sz w:val="26"/>
                <w:szCs w:val="26"/>
              </w:rPr>
              <w:drawing>
                <wp:inline distT="0" distB="0" distL="0" distR="0" wp14:anchorId="3E3A2063" wp14:editId="26E1C8B2">
                  <wp:extent cx="4895850" cy="7413894"/>
                  <wp:effectExtent l="0" t="0" r="0" b="0"/>
                  <wp:docPr id="213602657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4158" cy="7471905"/>
                          </a:xfrm>
                          <a:prstGeom prst="rect">
                            <a:avLst/>
                          </a:prstGeom>
                          <a:noFill/>
                        </pic:spPr>
                      </pic:pic>
                    </a:graphicData>
                  </a:graphic>
                </wp:inline>
              </w:drawing>
            </w:r>
          </w:p>
        </w:tc>
      </w:tr>
      <w:tr w:rsidR="0075094E" w14:paraId="27345BFC" w14:textId="77777777" w:rsidTr="0075094E">
        <w:tc>
          <w:tcPr>
            <w:tcW w:w="7995" w:type="dxa"/>
          </w:tcPr>
          <w:p w14:paraId="041894F7" w14:textId="77777777" w:rsidR="008C78FA" w:rsidRPr="00936E39" w:rsidRDefault="008C78FA" w:rsidP="008C78FA">
            <w:pPr>
              <w:pStyle w:val="Ingenmellomrom"/>
              <w:rPr>
                <w:rFonts w:ascii="Arial" w:hAnsi="Arial" w:cs="Arial"/>
                <w:b/>
                <w:sz w:val="24"/>
                <w:szCs w:val="24"/>
              </w:rPr>
            </w:pPr>
            <w:r w:rsidRPr="00936E39">
              <w:rPr>
                <w:rFonts w:ascii="Arial" w:hAnsi="Arial" w:cs="Arial"/>
                <w:b/>
                <w:sz w:val="24"/>
                <w:szCs w:val="24"/>
              </w:rPr>
              <w:t>Løvskog</w:t>
            </w:r>
          </w:p>
          <w:p w14:paraId="3E177656" w14:textId="77777777" w:rsidR="008C78FA" w:rsidRPr="00936E39" w:rsidRDefault="008C78FA" w:rsidP="008C78FA">
            <w:pPr>
              <w:pStyle w:val="Ingenmellomrom"/>
              <w:rPr>
                <w:rFonts w:ascii="Arial" w:hAnsi="Arial" w:cs="Arial"/>
                <w:b/>
                <w:sz w:val="24"/>
                <w:szCs w:val="24"/>
              </w:rPr>
            </w:pPr>
            <w:r w:rsidRPr="00936E39">
              <w:rPr>
                <w:rFonts w:ascii="Arial" w:hAnsi="Arial" w:cs="Arial"/>
                <w:b/>
                <w:sz w:val="24"/>
                <w:szCs w:val="24"/>
              </w:rPr>
              <w:t>Barskog</w:t>
            </w:r>
          </w:p>
          <w:p w14:paraId="01BA2314" w14:textId="25239A55" w:rsidR="00F640FC" w:rsidRPr="00936E39" w:rsidRDefault="008C78FA" w:rsidP="008C78FA">
            <w:pPr>
              <w:pStyle w:val="Ingenmellomrom"/>
              <w:rPr>
                <w:rFonts w:ascii="Arial" w:hAnsi="Arial" w:cs="Arial"/>
                <w:b/>
                <w:sz w:val="24"/>
                <w:szCs w:val="24"/>
              </w:rPr>
            </w:pPr>
            <w:r w:rsidRPr="00936E39">
              <w:rPr>
                <w:rFonts w:ascii="Arial" w:hAnsi="Arial" w:cs="Arial"/>
                <w:b/>
                <w:sz w:val="24"/>
                <w:szCs w:val="24"/>
              </w:rPr>
              <w:t>Eviggrønne skoger</w:t>
            </w:r>
          </w:p>
        </w:tc>
        <w:tc>
          <w:tcPr>
            <w:tcW w:w="8024" w:type="dxa"/>
          </w:tcPr>
          <w:p w14:paraId="5078D518" w14:textId="77777777" w:rsidR="008C78FA" w:rsidRPr="00936E39" w:rsidRDefault="008C78FA" w:rsidP="008C78FA">
            <w:pPr>
              <w:pStyle w:val="Ingenmellomrom"/>
              <w:rPr>
                <w:rFonts w:ascii="Arial" w:hAnsi="Arial" w:cs="Arial"/>
                <w:b/>
                <w:sz w:val="24"/>
                <w:szCs w:val="24"/>
              </w:rPr>
            </w:pPr>
            <w:r w:rsidRPr="00936E39">
              <w:rPr>
                <w:rFonts w:ascii="Arial" w:hAnsi="Arial" w:cs="Arial"/>
                <w:b/>
                <w:sz w:val="24"/>
                <w:szCs w:val="24"/>
              </w:rPr>
              <w:t>Sommeravlinger</w:t>
            </w:r>
          </w:p>
          <w:p w14:paraId="4693CCF7" w14:textId="77777777" w:rsidR="008C78FA" w:rsidRPr="00936E39" w:rsidRDefault="008C78FA" w:rsidP="008C78FA">
            <w:pPr>
              <w:pStyle w:val="Ingenmellomrom"/>
              <w:rPr>
                <w:rFonts w:ascii="Arial" w:hAnsi="Arial" w:cs="Arial"/>
                <w:b/>
                <w:sz w:val="24"/>
                <w:szCs w:val="24"/>
              </w:rPr>
            </w:pPr>
            <w:r w:rsidRPr="00936E39">
              <w:rPr>
                <w:rFonts w:ascii="Arial" w:hAnsi="Arial" w:cs="Arial"/>
                <w:b/>
                <w:sz w:val="24"/>
                <w:szCs w:val="24"/>
              </w:rPr>
              <w:t>Vinteravlinger</w:t>
            </w:r>
          </w:p>
          <w:p w14:paraId="5CE0629F" w14:textId="2F2AF201" w:rsidR="00F640FC" w:rsidRPr="00936E39" w:rsidRDefault="008C78FA" w:rsidP="008C78FA">
            <w:pPr>
              <w:pStyle w:val="Ingenmellomrom"/>
              <w:rPr>
                <w:rFonts w:ascii="Arial" w:hAnsi="Arial" w:cs="Arial"/>
                <w:b/>
                <w:sz w:val="24"/>
                <w:szCs w:val="24"/>
              </w:rPr>
            </w:pPr>
            <w:r w:rsidRPr="00936E39">
              <w:rPr>
                <w:rFonts w:ascii="Arial" w:hAnsi="Arial" w:cs="Arial"/>
                <w:b/>
                <w:sz w:val="24"/>
                <w:szCs w:val="24"/>
              </w:rPr>
              <w:t>Gressletter</w:t>
            </w:r>
          </w:p>
        </w:tc>
      </w:tr>
      <w:tr w:rsidR="00E8425B" w14:paraId="134D4E0E" w14:textId="77777777" w:rsidTr="004B64CA">
        <w:tc>
          <w:tcPr>
            <w:tcW w:w="16019" w:type="dxa"/>
            <w:gridSpan w:val="2"/>
          </w:tcPr>
          <w:p w14:paraId="273C0FC9" w14:textId="27E91529" w:rsidR="00E64C83" w:rsidRPr="00E64C83" w:rsidRDefault="00E64C83" w:rsidP="00E64C83">
            <w:pPr>
              <w:pStyle w:val="Ingenmellomrom"/>
              <w:rPr>
                <w:rFonts w:ascii="Arial" w:hAnsi="Arial" w:cs="Arial"/>
                <w:b/>
                <w:sz w:val="24"/>
                <w:szCs w:val="24"/>
              </w:rPr>
            </w:pPr>
            <w:r w:rsidRPr="00E64C83">
              <w:rPr>
                <w:rFonts w:ascii="Arial" w:hAnsi="Arial" w:cs="Arial"/>
                <w:b/>
                <w:sz w:val="24"/>
                <w:szCs w:val="24"/>
              </w:rPr>
              <w:t>Gjennomsnittlig LAI-verdi for de seks vegetasjonstypene er angitt kvantitativt i nedre venstre hjørne av hvert kart, mens trenden i LAI per år er vist til høyre. Standardavviket, angitt med +/-, er generelt stort, noe som reflekterer den betydelige innflytelsen jord-, terreng- og værforskjeller har på LAI.</w:t>
            </w:r>
          </w:p>
          <w:p w14:paraId="4725E19E" w14:textId="57E9C51B" w:rsidR="00FD29C2" w:rsidRPr="00936E39" w:rsidRDefault="00E64C83" w:rsidP="008C78FA">
            <w:pPr>
              <w:pStyle w:val="Ingenmellomrom"/>
              <w:rPr>
                <w:rFonts w:ascii="Arial" w:hAnsi="Arial" w:cs="Arial"/>
                <w:b/>
                <w:sz w:val="24"/>
                <w:szCs w:val="24"/>
              </w:rPr>
            </w:pPr>
            <w:r w:rsidRPr="00E64C83">
              <w:rPr>
                <w:rFonts w:ascii="Arial" w:hAnsi="Arial" w:cs="Arial"/>
                <w:b/>
                <w:sz w:val="24"/>
                <w:szCs w:val="24"/>
              </w:rPr>
              <w:t>Den siste figuren avslører en bemerkelsesverdig økning i verdens gressletter. Gjennomsnittlig LAI for gressmark i perioden 1999-2015 er 0,55, noe som indikerer at jorddekningen globalt sett er mindre enn fullstendig (det ideelle er en LAI på 1). Trenden viser en økning på 0,0279 kvadratmeter per år, noe som tilsvarer en imponerende årlig økning på 5,0%. Over den 17-årige rekordperioden betyr dette at LAI for gressmark har økt med totalt 85%. Ifølge Munier utgjør gressletter, som er den mest vanlige vegetasjonstypen, 31% av den målte globale kontinentale overflaten (Antarktis er ikke inkludert i undersøkelsen). Dette understreker den betydelige økningen i gressletter.</w:t>
            </w:r>
          </w:p>
        </w:tc>
      </w:tr>
    </w:tbl>
    <w:p w14:paraId="68A558E1" w14:textId="77777777" w:rsidR="00F640FC" w:rsidRDefault="00F640FC" w:rsidP="00972FF8">
      <w:pPr>
        <w:pStyle w:val="Ingenmellomrom"/>
        <w:rPr>
          <w:rFonts w:ascii="Arial" w:hAnsi="Arial" w:cs="Arial"/>
          <w:b/>
          <w:sz w:val="26"/>
          <w:szCs w:val="26"/>
        </w:rPr>
      </w:pPr>
    </w:p>
    <w:p w14:paraId="63BE062C" w14:textId="77777777" w:rsidR="00AE02B8" w:rsidRDefault="00AE02B8" w:rsidP="00972FF8">
      <w:pPr>
        <w:pStyle w:val="Ingenmellomrom"/>
        <w:rPr>
          <w:rFonts w:ascii="Arial" w:hAnsi="Arial" w:cs="Arial"/>
          <w:b/>
          <w:sz w:val="26"/>
          <w:szCs w:val="26"/>
        </w:rPr>
      </w:pPr>
    </w:p>
    <w:tbl>
      <w:tblPr>
        <w:tblStyle w:val="Tabellrutenett"/>
        <w:tblW w:w="0" w:type="auto"/>
        <w:tblLook w:val="04A0" w:firstRow="1" w:lastRow="0" w:firstColumn="1" w:lastColumn="0" w:noHBand="0" w:noVBand="1"/>
      </w:tblPr>
      <w:tblGrid>
        <w:gridCol w:w="13994"/>
      </w:tblGrid>
      <w:tr w:rsidR="00AE02B8" w14:paraId="5162562B" w14:textId="77777777" w:rsidTr="002B46EB">
        <w:tc>
          <w:tcPr>
            <w:tcW w:w="13994" w:type="dxa"/>
          </w:tcPr>
          <w:p w14:paraId="0775E86D" w14:textId="716A0A20" w:rsidR="00AE02B8" w:rsidRDefault="00AE02B8" w:rsidP="00972FF8">
            <w:pPr>
              <w:pStyle w:val="Ingenmellomrom"/>
              <w:rPr>
                <w:rFonts w:ascii="Arial" w:hAnsi="Arial" w:cs="Arial"/>
                <w:b/>
                <w:sz w:val="26"/>
                <w:szCs w:val="26"/>
              </w:rPr>
            </w:pPr>
            <w:r>
              <w:rPr>
                <w:rFonts w:ascii="Arial" w:hAnsi="Arial" w:cs="Arial"/>
                <w:b/>
                <w:noProof/>
                <w:sz w:val="26"/>
                <w:szCs w:val="26"/>
              </w:rPr>
              <w:lastRenderedPageBreak/>
              <w:drawing>
                <wp:inline distT="0" distB="0" distL="0" distR="0" wp14:anchorId="7BE5CB40" wp14:editId="57559075">
                  <wp:extent cx="8761738" cy="3155950"/>
                  <wp:effectExtent l="0" t="0" r="1270" b="6350"/>
                  <wp:docPr id="46978660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1482" cy="3184674"/>
                          </a:xfrm>
                          <a:prstGeom prst="rect">
                            <a:avLst/>
                          </a:prstGeom>
                          <a:noFill/>
                        </pic:spPr>
                      </pic:pic>
                    </a:graphicData>
                  </a:graphic>
                </wp:inline>
              </w:drawing>
            </w:r>
          </w:p>
        </w:tc>
      </w:tr>
      <w:tr w:rsidR="00AE02B8" w14:paraId="535DF6C2" w14:textId="77777777" w:rsidTr="003B56BE">
        <w:tc>
          <w:tcPr>
            <w:tcW w:w="13994" w:type="dxa"/>
          </w:tcPr>
          <w:p w14:paraId="78C25C5B" w14:textId="0F65D7D4" w:rsidR="00AE02B8" w:rsidRPr="00936E39" w:rsidRDefault="00734BF1" w:rsidP="00734BF1">
            <w:pPr>
              <w:pStyle w:val="Ingenmellomrom"/>
              <w:rPr>
                <w:rFonts w:ascii="Arial" w:hAnsi="Arial" w:cs="Arial"/>
                <w:b/>
                <w:sz w:val="24"/>
                <w:szCs w:val="24"/>
              </w:rPr>
            </w:pPr>
            <w:r w:rsidRPr="00734BF1">
              <w:rPr>
                <w:rFonts w:ascii="Arial" w:hAnsi="Arial" w:cs="Arial"/>
                <w:b/>
                <w:sz w:val="24"/>
                <w:szCs w:val="24"/>
              </w:rPr>
              <w:t>Trendene i Leaf Area Index (LAI) for den eviggrønne skogvegetasjonen i Amazonasbassenget avdekker markante endringer i løpet av en relativt kort tidsperiode fra 2000 til 2015. En vesentlig faktor er endringer i landdekke (LCC), hvor skogen brennes ned og området konverteres til beiteområder. Dette fremhever de alvorlige miljøutfordringene vi står overfor.</w:t>
            </w:r>
          </w:p>
        </w:tc>
      </w:tr>
    </w:tbl>
    <w:p w14:paraId="6D0440E2" w14:textId="77777777" w:rsidR="00AE02B8" w:rsidRDefault="00AE02B8" w:rsidP="00972FF8">
      <w:pPr>
        <w:pStyle w:val="Ingenmellomrom"/>
        <w:rPr>
          <w:rFonts w:ascii="Arial" w:hAnsi="Arial" w:cs="Arial"/>
          <w:b/>
          <w:sz w:val="26"/>
          <w:szCs w:val="26"/>
        </w:rPr>
      </w:pPr>
    </w:p>
    <w:tbl>
      <w:tblPr>
        <w:tblStyle w:val="Tabellrutenett"/>
        <w:tblW w:w="16302" w:type="dxa"/>
        <w:tblInd w:w="-1139" w:type="dxa"/>
        <w:tblLook w:val="04A0" w:firstRow="1" w:lastRow="0" w:firstColumn="1" w:lastColumn="0" w:noHBand="0" w:noVBand="1"/>
      </w:tblPr>
      <w:tblGrid>
        <w:gridCol w:w="16302"/>
      </w:tblGrid>
      <w:tr w:rsidR="00DB79C0" w14:paraId="658D6CB2" w14:textId="77777777" w:rsidTr="008508EB">
        <w:tc>
          <w:tcPr>
            <w:tcW w:w="16302" w:type="dxa"/>
          </w:tcPr>
          <w:p w14:paraId="35FDD2D1" w14:textId="1E17CDE1" w:rsidR="00DB79C0" w:rsidRDefault="00DB79C0" w:rsidP="00972FF8">
            <w:pPr>
              <w:pStyle w:val="Ingenmellomrom"/>
              <w:rPr>
                <w:rFonts w:ascii="Arial" w:hAnsi="Arial" w:cs="Arial"/>
                <w:b/>
                <w:sz w:val="26"/>
                <w:szCs w:val="26"/>
              </w:rPr>
            </w:pPr>
            <w:r>
              <w:rPr>
                <w:rFonts w:ascii="Arial" w:hAnsi="Arial" w:cs="Arial"/>
                <w:b/>
                <w:noProof/>
                <w:sz w:val="26"/>
                <w:szCs w:val="26"/>
              </w:rPr>
              <w:drawing>
                <wp:inline distT="0" distB="0" distL="0" distR="0" wp14:anchorId="53BCA60B" wp14:editId="1C2BE1FA">
                  <wp:extent cx="10188950" cy="8159750"/>
                  <wp:effectExtent l="0" t="0" r="3175" b="0"/>
                  <wp:docPr id="153086615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0892" cy="8185331"/>
                          </a:xfrm>
                          <a:prstGeom prst="rect">
                            <a:avLst/>
                          </a:prstGeom>
                          <a:noFill/>
                        </pic:spPr>
                      </pic:pic>
                    </a:graphicData>
                  </a:graphic>
                </wp:inline>
              </w:drawing>
            </w:r>
          </w:p>
        </w:tc>
      </w:tr>
      <w:tr w:rsidR="00DB79C0" w14:paraId="13CBAAFF" w14:textId="77777777" w:rsidTr="008508EB">
        <w:tc>
          <w:tcPr>
            <w:tcW w:w="16302" w:type="dxa"/>
          </w:tcPr>
          <w:p w14:paraId="7D8FE185" w14:textId="4150E996" w:rsidR="00DB79C0" w:rsidRPr="00936E39" w:rsidRDefault="00734BF1" w:rsidP="00972FF8">
            <w:pPr>
              <w:pStyle w:val="Ingenmellomrom"/>
              <w:rPr>
                <w:rFonts w:ascii="Arial" w:hAnsi="Arial" w:cs="Arial"/>
                <w:b/>
                <w:sz w:val="24"/>
                <w:szCs w:val="24"/>
              </w:rPr>
            </w:pPr>
            <w:r w:rsidRPr="00734BF1">
              <w:rPr>
                <w:rFonts w:ascii="Arial" w:hAnsi="Arial" w:cs="Arial"/>
                <w:b/>
                <w:sz w:val="24"/>
                <w:szCs w:val="24"/>
              </w:rPr>
              <w:t>Et kart fra 2011 gir en klar indikasjon på at avskogingen hovedsakelig skjer fra sør og øst, og at den opphører ved grensene til urfolksterritoriene. Dette illustrerer tydelig hvordan urfolksterritoriene fungerer som en barriere mot avskoging.</w:t>
            </w:r>
            <w:r w:rsidR="00B83944" w:rsidRPr="00936E39">
              <w:rPr>
                <w:rFonts w:ascii="Arial" w:hAnsi="Arial" w:cs="Arial"/>
                <w:b/>
                <w:sz w:val="24"/>
                <w:szCs w:val="24"/>
              </w:rPr>
              <w:t xml:space="preserve"> </w:t>
            </w:r>
          </w:p>
        </w:tc>
      </w:tr>
      <w:tr w:rsidR="008508EB" w14:paraId="301CCD52" w14:textId="77777777" w:rsidTr="008508EB">
        <w:tc>
          <w:tcPr>
            <w:tcW w:w="16302" w:type="dxa"/>
          </w:tcPr>
          <w:p w14:paraId="4F028E60" w14:textId="1029EFC8" w:rsidR="008508EB" w:rsidRDefault="008508EB" w:rsidP="00972FF8">
            <w:pPr>
              <w:pStyle w:val="Ingenmellomrom"/>
              <w:rPr>
                <w:rFonts w:ascii="Arial" w:hAnsi="Arial" w:cs="Arial"/>
                <w:b/>
                <w:sz w:val="26"/>
                <w:szCs w:val="26"/>
              </w:rPr>
            </w:pPr>
            <w:r>
              <w:rPr>
                <w:rFonts w:ascii="Arial" w:hAnsi="Arial" w:cs="Arial"/>
                <w:b/>
                <w:noProof/>
                <w:sz w:val="26"/>
                <w:szCs w:val="26"/>
              </w:rPr>
              <w:lastRenderedPageBreak/>
              <w:drawing>
                <wp:inline distT="0" distB="0" distL="0" distR="0" wp14:anchorId="126E9944" wp14:editId="23DAE952">
                  <wp:extent cx="10198100" cy="7123502"/>
                  <wp:effectExtent l="0" t="0" r="0" b="1270"/>
                  <wp:docPr id="1464973302"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67184" cy="7171758"/>
                          </a:xfrm>
                          <a:prstGeom prst="rect">
                            <a:avLst/>
                          </a:prstGeom>
                          <a:noFill/>
                        </pic:spPr>
                      </pic:pic>
                    </a:graphicData>
                  </a:graphic>
                </wp:inline>
              </w:drawing>
            </w:r>
          </w:p>
        </w:tc>
      </w:tr>
      <w:tr w:rsidR="008508EB" w14:paraId="1EBAC294" w14:textId="77777777" w:rsidTr="008508EB">
        <w:tc>
          <w:tcPr>
            <w:tcW w:w="16302" w:type="dxa"/>
          </w:tcPr>
          <w:p w14:paraId="29C2516E" w14:textId="66C0C846" w:rsidR="008508EB" w:rsidRPr="00936E39" w:rsidRDefault="007D0E98" w:rsidP="00972FF8">
            <w:pPr>
              <w:pStyle w:val="Ingenmellomrom"/>
              <w:rPr>
                <w:rFonts w:ascii="Arial" w:hAnsi="Arial" w:cs="Arial"/>
                <w:b/>
                <w:sz w:val="24"/>
                <w:szCs w:val="24"/>
              </w:rPr>
            </w:pPr>
            <w:r w:rsidRPr="007D0E98">
              <w:rPr>
                <w:rFonts w:ascii="Arial" w:hAnsi="Arial" w:cs="Arial"/>
                <w:b/>
                <w:sz w:val="24"/>
                <w:szCs w:val="24"/>
              </w:rPr>
              <w:t xml:space="preserve">Kartet viser offentlige skoger (markert i oransje), naturreservater (lysegrønt), urbefolkningsland (mørkegrønt) og områder hvor avskoging har funnet sted innen 2021 (røde prikker). Det er tydelig at i dagens situasjon er både naturreservater og urbefolkningens områder utsatt for </w:t>
            </w:r>
            <w:r>
              <w:rPr>
                <w:rFonts w:ascii="Arial" w:hAnsi="Arial" w:cs="Arial"/>
                <w:b/>
                <w:sz w:val="24"/>
                <w:szCs w:val="24"/>
              </w:rPr>
              <w:t>avskoging</w:t>
            </w:r>
            <w:r w:rsidRPr="007D0E98">
              <w:rPr>
                <w:rFonts w:ascii="Arial" w:hAnsi="Arial" w:cs="Arial"/>
                <w:b/>
                <w:sz w:val="24"/>
                <w:szCs w:val="24"/>
              </w:rPr>
              <w:t>. Dette understreker den økende trusselen mot disse viktige økosystemene.</w:t>
            </w:r>
          </w:p>
        </w:tc>
      </w:tr>
    </w:tbl>
    <w:p w14:paraId="6C3361DF" w14:textId="77777777" w:rsidR="00AE02B8" w:rsidRDefault="00AE02B8" w:rsidP="00972FF8">
      <w:pPr>
        <w:pStyle w:val="Ingenmellomrom"/>
        <w:rPr>
          <w:rFonts w:ascii="Arial" w:hAnsi="Arial" w:cs="Arial"/>
          <w:b/>
          <w:sz w:val="26"/>
          <w:szCs w:val="26"/>
        </w:rPr>
      </w:pPr>
    </w:p>
    <w:p w14:paraId="011B043B" w14:textId="77777777" w:rsidR="00DB79C0" w:rsidRPr="00E84321" w:rsidRDefault="00DB79C0" w:rsidP="00972FF8">
      <w:pPr>
        <w:pStyle w:val="Ingenmellomrom"/>
        <w:rPr>
          <w:rFonts w:ascii="Arial" w:hAnsi="Arial" w:cs="Arial"/>
          <w:b/>
          <w:sz w:val="26"/>
          <w:szCs w:val="26"/>
        </w:rPr>
      </w:pPr>
    </w:p>
    <w:p w14:paraId="62808BBE" w14:textId="5A0AD881" w:rsidR="004104BF" w:rsidRDefault="004104BF" w:rsidP="007A3CEB">
      <w:pPr>
        <w:rPr>
          <w:sz w:val="24"/>
          <w:szCs w:val="24"/>
        </w:rPr>
      </w:pPr>
    </w:p>
    <w:p w14:paraId="6076150F" w14:textId="6F6443B8" w:rsidR="000704A9" w:rsidRPr="000704A9" w:rsidRDefault="000704A9" w:rsidP="007A3CEB">
      <w:pPr>
        <w:rPr>
          <w:rFonts w:ascii="Arial" w:hAnsi="Arial" w:cs="Arial"/>
          <w:b/>
          <w:bCs/>
          <w:sz w:val="24"/>
          <w:szCs w:val="24"/>
          <w:u w:val="single"/>
        </w:rPr>
      </w:pPr>
      <w:r w:rsidRPr="000704A9">
        <w:rPr>
          <w:rFonts w:ascii="Arial" w:hAnsi="Arial" w:cs="Arial"/>
          <w:b/>
          <w:bCs/>
          <w:sz w:val="24"/>
          <w:szCs w:val="24"/>
          <w:u w:val="single"/>
        </w:rPr>
        <w:t>Artikler</w:t>
      </w:r>
    </w:p>
    <w:p w14:paraId="74FED500" w14:textId="622AC05D" w:rsidR="000704A9" w:rsidRDefault="000704A9" w:rsidP="000704A9">
      <w:pPr>
        <w:pStyle w:val="Listeavsnitt"/>
        <w:numPr>
          <w:ilvl w:val="0"/>
          <w:numId w:val="1"/>
        </w:numPr>
        <w:rPr>
          <w:sz w:val="24"/>
          <w:szCs w:val="24"/>
        </w:rPr>
      </w:pPr>
      <w:r w:rsidRPr="000704A9">
        <w:rPr>
          <w:sz w:val="24"/>
          <w:szCs w:val="24"/>
        </w:rPr>
        <w:t xml:space="preserve">Munier, S.; Carrer, D.; Planque, C.; Camacho, F.; Albergel, C.; Calvet, J.-C. Satellite Leaf Area Index: Global Scale Analysis of the Tendencies Per Vegetation Type Over the Last 17 Years. Remote Sens. 2018, 10, 424. </w:t>
      </w:r>
      <w:hyperlink r:id="rId11" w:history="1">
        <w:r w:rsidRPr="0069573B">
          <w:rPr>
            <w:rStyle w:val="Hyperkobling"/>
            <w:sz w:val="24"/>
            <w:szCs w:val="24"/>
          </w:rPr>
          <w:t>https://doi.org/10.3390/rs10030424</w:t>
        </w:r>
      </w:hyperlink>
    </w:p>
    <w:p w14:paraId="428D1703" w14:textId="0090DA7D" w:rsidR="000704A9" w:rsidRDefault="000704A9" w:rsidP="000704A9">
      <w:pPr>
        <w:pStyle w:val="Listeavsnitt"/>
        <w:numPr>
          <w:ilvl w:val="0"/>
          <w:numId w:val="1"/>
        </w:numPr>
        <w:rPr>
          <w:sz w:val="24"/>
          <w:szCs w:val="24"/>
        </w:rPr>
      </w:pPr>
      <w:r w:rsidRPr="000704A9">
        <w:rPr>
          <w:sz w:val="24"/>
          <w:szCs w:val="24"/>
        </w:rPr>
        <w:t xml:space="preserve">Zhu, Z., Piao, S., Myneni, R. et al. Greening of the Earth and its drivers. Nature Clim Change 6, 791–795 (2016). </w:t>
      </w:r>
      <w:hyperlink r:id="rId12" w:history="1">
        <w:r w:rsidRPr="0069573B">
          <w:rPr>
            <w:rStyle w:val="Hyperkobling"/>
            <w:sz w:val="24"/>
            <w:szCs w:val="24"/>
          </w:rPr>
          <w:t>https://doi.org/10.1038/nclimate3004</w:t>
        </w:r>
      </w:hyperlink>
    </w:p>
    <w:p w14:paraId="343C4B57" w14:textId="568F61CE" w:rsidR="000704A9" w:rsidRDefault="008508EB" w:rsidP="000704A9">
      <w:pPr>
        <w:pStyle w:val="Listeavsnitt"/>
        <w:numPr>
          <w:ilvl w:val="0"/>
          <w:numId w:val="1"/>
        </w:numPr>
        <w:rPr>
          <w:sz w:val="24"/>
          <w:szCs w:val="24"/>
        </w:rPr>
      </w:pPr>
      <w:hyperlink r:id="rId13" w:history="1">
        <w:r w:rsidRPr="0069573B">
          <w:rPr>
            <w:rStyle w:val="Hyperkobling"/>
            <w:sz w:val="24"/>
            <w:szCs w:val="24"/>
          </w:rPr>
          <w:t>https://en.wikipedia.org/wiki/Leaf_area_index</w:t>
        </w:r>
      </w:hyperlink>
    </w:p>
    <w:p w14:paraId="449BFC81" w14:textId="16D25146" w:rsidR="008508EB" w:rsidRDefault="008508EB" w:rsidP="000704A9">
      <w:pPr>
        <w:pStyle w:val="Listeavsnitt"/>
        <w:numPr>
          <w:ilvl w:val="0"/>
          <w:numId w:val="1"/>
        </w:numPr>
        <w:rPr>
          <w:sz w:val="24"/>
          <w:szCs w:val="24"/>
        </w:rPr>
      </w:pPr>
      <w:hyperlink r:id="rId14" w:history="1">
        <w:r w:rsidRPr="0069573B">
          <w:rPr>
            <w:rStyle w:val="Hyperkobling"/>
            <w:sz w:val="24"/>
            <w:szCs w:val="24"/>
          </w:rPr>
          <w:t>https://www.nature.com/articles/s41467-023-36427-x/figures/1</w:t>
        </w:r>
      </w:hyperlink>
    </w:p>
    <w:p w14:paraId="0AC27312" w14:textId="77777777" w:rsidR="008508EB" w:rsidRPr="000704A9" w:rsidRDefault="008508EB" w:rsidP="000704A9">
      <w:pPr>
        <w:pStyle w:val="Listeavsnitt"/>
        <w:numPr>
          <w:ilvl w:val="0"/>
          <w:numId w:val="1"/>
        </w:numPr>
        <w:rPr>
          <w:sz w:val="24"/>
          <w:szCs w:val="24"/>
        </w:rPr>
      </w:pPr>
    </w:p>
    <w:sectPr w:rsidR="008508EB" w:rsidRPr="000704A9" w:rsidSect="007A3CEB">
      <w:pgSz w:w="16838" w:h="23811" w:code="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5710DC"/>
    <w:multiLevelType w:val="hybridMultilevel"/>
    <w:tmpl w:val="D8AE49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04431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CEB"/>
    <w:rsid w:val="00013F90"/>
    <w:rsid w:val="000704A9"/>
    <w:rsid w:val="00230A21"/>
    <w:rsid w:val="0035157F"/>
    <w:rsid w:val="003A6C7C"/>
    <w:rsid w:val="003A6E7A"/>
    <w:rsid w:val="004104BF"/>
    <w:rsid w:val="005817C9"/>
    <w:rsid w:val="00584641"/>
    <w:rsid w:val="00695D14"/>
    <w:rsid w:val="007029BE"/>
    <w:rsid w:val="00734BF1"/>
    <w:rsid w:val="0075094E"/>
    <w:rsid w:val="007A3CEB"/>
    <w:rsid w:val="007C5215"/>
    <w:rsid w:val="007D0E98"/>
    <w:rsid w:val="00812EAF"/>
    <w:rsid w:val="008508EB"/>
    <w:rsid w:val="008A068D"/>
    <w:rsid w:val="008C78FA"/>
    <w:rsid w:val="00936E39"/>
    <w:rsid w:val="00972FF8"/>
    <w:rsid w:val="00A32E68"/>
    <w:rsid w:val="00A44428"/>
    <w:rsid w:val="00AE02B8"/>
    <w:rsid w:val="00B83944"/>
    <w:rsid w:val="00C75752"/>
    <w:rsid w:val="00DB79C0"/>
    <w:rsid w:val="00DF0C85"/>
    <w:rsid w:val="00E64C83"/>
    <w:rsid w:val="00E8425B"/>
    <w:rsid w:val="00ED2CAE"/>
    <w:rsid w:val="00F640FC"/>
    <w:rsid w:val="00FB107C"/>
    <w:rsid w:val="00FD29C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30C26"/>
  <w15:chartTrackingRefBased/>
  <w15:docId w15:val="{DF9C2DEE-C8A6-4E79-9C42-EF645804C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4104BF"/>
    <w:pPr>
      <w:spacing w:after="0" w:line="240" w:lineRule="auto"/>
    </w:pPr>
    <w:rPr>
      <w:kern w:val="0"/>
      <w14:ligatures w14:val="none"/>
    </w:rPr>
  </w:style>
  <w:style w:type="table" w:styleId="Tabellrutenett">
    <w:name w:val="Table Grid"/>
    <w:basedOn w:val="Vanligtabell"/>
    <w:uiPriority w:val="39"/>
    <w:rsid w:val="008A0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Standardskriftforavsnitt"/>
    <w:rsid w:val="008A068D"/>
  </w:style>
  <w:style w:type="paragraph" w:styleId="Listeavsnitt">
    <w:name w:val="List Paragraph"/>
    <w:basedOn w:val="Normal"/>
    <w:uiPriority w:val="34"/>
    <w:qFormat/>
    <w:rsid w:val="000704A9"/>
    <w:pPr>
      <w:ind w:left="720"/>
      <w:contextualSpacing/>
    </w:pPr>
  </w:style>
  <w:style w:type="character" w:styleId="Hyperkobling">
    <w:name w:val="Hyperlink"/>
    <w:basedOn w:val="Standardskriftforavsnitt"/>
    <w:uiPriority w:val="99"/>
    <w:unhideWhenUsed/>
    <w:rsid w:val="000704A9"/>
    <w:rPr>
      <w:color w:val="0563C1" w:themeColor="hyperlink"/>
      <w:u w:val="single"/>
    </w:rPr>
  </w:style>
  <w:style w:type="character" w:styleId="Ulstomtale">
    <w:name w:val="Unresolved Mention"/>
    <w:basedOn w:val="Standardskriftforavsnitt"/>
    <w:uiPriority w:val="99"/>
    <w:semiHidden/>
    <w:unhideWhenUsed/>
    <w:rsid w:val="00070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359438">
      <w:bodyDiv w:val="1"/>
      <w:marLeft w:val="0"/>
      <w:marRight w:val="0"/>
      <w:marTop w:val="0"/>
      <w:marBottom w:val="0"/>
      <w:divBdr>
        <w:top w:val="none" w:sz="0" w:space="0" w:color="auto"/>
        <w:left w:val="none" w:sz="0" w:space="0" w:color="auto"/>
        <w:bottom w:val="none" w:sz="0" w:space="0" w:color="auto"/>
        <w:right w:val="none" w:sz="0" w:space="0" w:color="auto"/>
      </w:divBdr>
      <w:divsChild>
        <w:div w:id="1258057313">
          <w:marLeft w:val="0"/>
          <w:marRight w:val="0"/>
          <w:marTop w:val="0"/>
          <w:marBottom w:val="0"/>
          <w:divBdr>
            <w:top w:val="none" w:sz="0" w:space="0" w:color="auto"/>
            <w:left w:val="none" w:sz="0" w:space="0" w:color="auto"/>
            <w:bottom w:val="none" w:sz="0" w:space="0" w:color="auto"/>
            <w:right w:val="none" w:sz="0" w:space="0" w:color="auto"/>
          </w:divBdr>
          <w:divsChild>
            <w:div w:id="204372912">
              <w:marLeft w:val="0"/>
              <w:marRight w:val="0"/>
              <w:marTop w:val="0"/>
              <w:marBottom w:val="0"/>
              <w:divBdr>
                <w:top w:val="none" w:sz="0" w:space="0" w:color="auto"/>
                <w:left w:val="none" w:sz="0" w:space="0" w:color="auto"/>
                <w:bottom w:val="none" w:sz="0" w:space="0" w:color="auto"/>
                <w:right w:val="none" w:sz="0" w:space="0" w:color="auto"/>
              </w:divBdr>
              <w:divsChild>
                <w:div w:id="294064026">
                  <w:marLeft w:val="0"/>
                  <w:marRight w:val="0"/>
                  <w:marTop w:val="0"/>
                  <w:marBottom w:val="0"/>
                  <w:divBdr>
                    <w:top w:val="none" w:sz="0" w:space="0" w:color="auto"/>
                    <w:left w:val="none" w:sz="0" w:space="0" w:color="auto"/>
                    <w:bottom w:val="none" w:sz="0" w:space="0" w:color="auto"/>
                    <w:right w:val="none" w:sz="0" w:space="0" w:color="auto"/>
                  </w:divBdr>
                  <w:divsChild>
                    <w:div w:id="358507804">
                      <w:marLeft w:val="0"/>
                      <w:marRight w:val="0"/>
                      <w:marTop w:val="0"/>
                      <w:marBottom w:val="0"/>
                      <w:divBdr>
                        <w:top w:val="none" w:sz="0" w:space="0" w:color="auto"/>
                        <w:left w:val="none" w:sz="0" w:space="0" w:color="auto"/>
                        <w:bottom w:val="none" w:sz="0" w:space="0" w:color="auto"/>
                        <w:right w:val="none" w:sz="0" w:space="0" w:color="auto"/>
                      </w:divBdr>
                      <w:divsChild>
                        <w:div w:id="1613899252">
                          <w:marLeft w:val="0"/>
                          <w:marRight w:val="0"/>
                          <w:marTop w:val="0"/>
                          <w:marBottom w:val="0"/>
                          <w:divBdr>
                            <w:top w:val="none" w:sz="0" w:space="0" w:color="auto"/>
                            <w:left w:val="none" w:sz="0" w:space="0" w:color="auto"/>
                            <w:bottom w:val="none" w:sz="0" w:space="0" w:color="auto"/>
                            <w:right w:val="none" w:sz="0" w:space="0" w:color="auto"/>
                          </w:divBdr>
                          <w:divsChild>
                            <w:div w:id="2101750482">
                              <w:marLeft w:val="0"/>
                              <w:marRight w:val="0"/>
                              <w:marTop w:val="0"/>
                              <w:marBottom w:val="0"/>
                              <w:divBdr>
                                <w:top w:val="none" w:sz="0" w:space="0" w:color="auto"/>
                                <w:left w:val="none" w:sz="0" w:space="0" w:color="auto"/>
                                <w:bottom w:val="none" w:sz="0" w:space="0" w:color="auto"/>
                                <w:right w:val="none" w:sz="0" w:space="0" w:color="auto"/>
                              </w:divBdr>
                              <w:divsChild>
                                <w:div w:id="1364021323">
                                  <w:marLeft w:val="0"/>
                                  <w:marRight w:val="0"/>
                                  <w:marTop w:val="0"/>
                                  <w:marBottom w:val="0"/>
                                  <w:divBdr>
                                    <w:top w:val="none" w:sz="0" w:space="0" w:color="auto"/>
                                    <w:left w:val="none" w:sz="0" w:space="0" w:color="auto"/>
                                    <w:bottom w:val="none" w:sz="0" w:space="0" w:color="auto"/>
                                    <w:right w:val="none" w:sz="0" w:space="0" w:color="auto"/>
                                  </w:divBdr>
                                  <w:divsChild>
                                    <w:div w:id="1622222973">
                                      <w:marLeft w:val="0"/>
                                      <w:marRight w:val="0"/>
                                      <w:marTop w:val="0"/>
                                      <w:marBottom w:val="0"/>
                                      <w:divBdr>
                                        <w:top w:val="none" w:sz="0" w:space="0" w:color="auto"/>
                                        <w:left w:val="none" w:sz="0" w:space="0" w:color="auto"/>
                                        <w:bottom w:val="none" w:sz="0" w:space="0" w:color="auto"/>
                                        <w:right w:val="none" w:sz="0" w:space="0" w:color="auto"/>
                                      </w:divBdr>
                                    </w:div>
                                    <w:div w:id="1953393969">
                                      <w:marLeft w:val="0"/>
                                      <w:marRight w:val="0"/>
                                      <w:marTop w:val="0"/>
                                      <w:marBottom w:val="0"/>
                                      <w:divBdr>
                                        <w:top w:val="none" w:sz="0" w:space="0" w:color="auto"/>
                                        <w:left w:val="none" w:sz="0" w:space="0" w:color="auto"/>
                                        <w:bottom w:val="none" w:sz="0" w:space="0" w:color="auto"/>
                                        <w:right w:val="none" w:sz="0" w:space="0" w:color="auto"/>
                                      </w:divBdr>
                                      <w:divsChild>
                                        <w:div w:id="1254507724">
                                          <w:marLeft w:val="0"/>
                                          <w:marRight w:val="0"/>
                                          <w:marTop w:val="0"/>
                                          <w:marBottom w:val="0"/>
                                          <w:divBdr>
                                            <w:top w:val="none" w:sz="0" w:space="0" w:color="auto"/>
                                            <w:left w:val="none" w:sz="0" w:space="0" w:color="auto"/>
                                            <w:bottom w:val="none" w:sz="0" w:space="0" w:color="auto"/>
                                            <w:right w:val="none" w:sz="0" w:space="0" w:color="auto"/>
                                          </w:divBdr>
                                          <w:divsChild>
                                            <w:div w:id="1015501628">
                                              <w:marLeft w:val="0"/>
                                              <w:marRight w:val="0"/>
                                              <w:marTop w:val="0"/>
                                              <w:marBottom w:val="0"/>
                                              <w:divBdr>
                                                <w:top w:val="none" w:sz="0" w:space="0" w:color="auto"/>
                                                <w:left w:val="none" w:sz="0" w:space="0" w:color="auto"/>
                                                <w:bottom w:val="none" w:sz="0" w:space="0" w:color="auto"/>
                                                <w:right w:val="none" w:sz="0" w:space="0" w:color="auto"/>
                                              </w:divBdr>
                                              <w:divsChild>
                                                <w:div w:id="12084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6429">
                                      <w:marLeft w:val="0"/>
                                      <w:marRight w:val="0"/>
                                      <w:marTop w:val="0"/>
                                      <w:marBottom w:val="0"/>
                                      <w:divBdr>
                                        <w:top w:val="none" w:sz="0" w:space="0" w:color="auto"/>
                                        <w:left w:val="none" w:sz="0" w:space="0" w:color="auto"/>
                                        <w:bottom w:val="none" w:sz="0" w:space="0" w:color="auto"/>
                                        <w:right w:val="none" w:sz="0" w:space="0" w:color="auto"/>
                                      </w:divBdr>
                                      <w:divsChild>
                                        <w:div w:id="53369197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n.wikipedia.org/wiki/Leaf_area_index"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038/nclimate3004"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3390/rs10030424"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nature.com/articles/s41467-023-36427-x/figures/1"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4</Pages>
  <Words>1201</Words>
  <Characters>6366</Characters>
  <Application>Microsoft Office Word</Application>
  <DocSecurity>0</DocSecurity>
  <Lines>53</Lines>
  <Paragraphs>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18</cp:revision>
  <dcterms:created xsi:type="dcterms:W3CDTF">2023-12-30T11:52:00Z</dcterms:created>
  <dcterms:modified xsi:type="dcterms:W3CDTF">2023-12-30T16:20:00Z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2023-12-30T13:00:46Z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3b44780a-d8ac-4007-85b3-6929a176e71b</vt:lpwstr>
  </property>
  <property fmtid="{D5CDD505-2E9C-101B-9397-08002B2CF9AE}" pid="8" name="MSIP_Label_593ecc0f-ccb9-4361-8333-eab9c279fcaa_ContentBits">
    <vt:lpwstr>0</vt:lpwstr>
  </property>
</Properties>
</file>