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280F" w14:textId="4255A3BD" w:rsidR="0070743A" w:rsidRPr="00B42136" w:rsidRDefault="00F22CF4">
      <w:pPr>
        <w:rPr>
          <w:rFonts w:ascii="Arial" w:hAnsi="Arial" w:cs="Arial"/>
          <w:b/>
          <w:bCs/>
          <w:sz w:val="40"/>
          <w:szCs w:val="40"/>
          <w:u w:val="single"/>
        </w:rPr>
      </w:pPr>
      <w:r w:rsidRPr="0070743A">
        <w:rPr>
          <w:rFonts w:ascii="Arial" w:hAnsi="Arial" w:cs="Arial"/>
          <w:b/>
          <w:bCs/>
          <w:sz w:val="40"/>
          <w:szCs w:val="40"/>
          <w:u w:val="single"/>
        </w:rPr>
        <w:t>Atmosfæriske CO</w:t>
      </w:r>
      <w:r w:rsidRPr="0070743A">
        <w:rPr>
          <w:rFonts w:ascii="Arial" w:hAnsi="Arial" w:cs="Arial"/>
          <w:b/>
          <w:bCs/>
          <w:sz w:val="40"/>
          <w:szCs w:val="40"/>
          <w:u w:val="single"/>
          <w:vertAlign w:val="subscript"/>
        </w:rPr>
        <w:t>2</w:t>
      </w:r>
      <w:r w:rsidRPr="0070743A">
        <w:rPr>
          <w:rFonts w:ascii="Arial" w:hAnsi="Arial" w:cs="Arial"/>
          <w:b/>
          <w:bCs/>
          <w:sz w:val="40"/>
          <w:szCs w:val="40"/>
          <w:u w:val="single"/>
        </w:rPr>
        <w:t xml:space="preserve"> målinger mellom 1826 og 1960.</w:t>
      </w:r>
    </w:p>
    <w:p w14:paraId="534266A2" w14:textId="1F2B6735" w:rsidR="00E37765" w:rsidRDefault="00E37765" w:rsidP="000B5B68">
      <w:pPr>
        <w:rPr>
          <w:rFonts w:ascii="Arial" w:hAnsi="Arial" w:cs="Arial"/>
          <w:b/>
          <w:bCs/>
          <w:sz w:val="24"/>
          <w:szCs w:val="24"/>
        </w:rPr>
      </w:pPr>
      <w:r w:rsidRPr="00E37765">
        <w:rPr>
          <w:rFonts w:ascii="Arial" w:hAnsi="Arial" w:cs="Arial"/>
          <w:b/>
          <w:bCs/>
          <w:sz w:val="24"/>
          <w:szCs w:val="24"/>
        </w:rPr>
        <w:t>Av Espen Andre Røinaas, biokjemiker, Lektor, 2023</w:t>
      </w:r>
    </w:p>
    <w:p w14:paraId="5A617AAB" w14:textId="5DE27229" w:rsidR="002E2EBC" w:rsidRDefault="002E2EBC" w:rsidP="000B5B68">
      <w:pPr>
        <w:rPr>
          <w:rFonts w:ascii="Arial" w:hAnsi="Arial" w:cs="Arial"/>
          <w:b/>
          <w:bCs/>
          <w:sz w:val="24"/>
          <w:szCs w:val="24"/>
        </w:rPr>
      </w:pPr>
      <w:r w:rsidRPr="002E2EBC">
        <w:rPr>
          <w:rFonts w:ascii="Arial" w:hAnsi="Arial" w:cs="Arial"/>
          <w:b/>
          <w:bCs/>
          <w:sz w:val="24"/>
          <w:szCs w:val="24"/>
        </w:rPr>
        <w:t>Analyse av mengden CO</w:t>
      </w:r>
      <w:r w:rsidRPr="002E2EBC">
        <w:rPr>
          <w:rFonts w:ascii="Arial" w:hAnsi="Arial" w:cs="Arial"/>
          <w:b/>
          <w:bCs/>
          <w:sz w:val="24"/>
          <w:szCs w:val="24"/>
          <w:vertAlign w:val="subscript"/>
        </w:rPr>
        <w:t>2</w:t>
      </w:r>
      <w:r w:rsidRPr="002E2EBC">
        <w:rPr>
          <w:rFonts w:ascii="Arial" w:hAnsi="Arial" w:cs="Arial"/>
          <w:b/>
          <w:bCs/>
          <w:sz w:val="24"/>
          <w:szCs w:val="24"/>
        </w:rPr>
        <w:t xml:space="preserve"> i atmosfæren ble gjort fra tidlig på 1800-tallet ved hjelp av kjemiske metoder. Nye og bedre metoder ble utviklet i løpet av århundret. Måleserier som viste daglige og årlige variasjoner, ble publisert allerede i 1830. Målingene viste at mengden CO</w:t>
      </w:r>
      <w:r w:rsidRPr="002E2EBC">
        <w:rPr>
          <w:rFonts w:ascii="Arial" w:hAnsi="Arial" w:cs="Arial"/>
          <w:b/>
          <w:bCs/>
          <w:sz w:val="24"/>
          <w:szCs w:val="24"/>
          <w:vertAlign w:val="subscript"/>
        </w:rPr>
        <w:t>2</w:t>
      </w:r>
      <w:r w:rsidRPr="002E2EBC">
        <w:rPr>
          <w:rFonts w:ascii="Arial" w:hAnsi="Arial" w:cs="Arial"/>
          <w:b/>
          <w:bCs/>
          <w:sz w:val="24"/>
          <w:szCs w:val="24"/>
        </w:rPr>
        <w:t xml:space="preserve"> varierte mye, avhengig av vær og vind og hva som vokste i området. Variasjoner med høyde ble også undersøkt, ved måling i Alpene, i høye master, ved ballongstigninger (Andrée) og ved prøver tatt fra fly i det neste århundre.</w:t>
      </w:r>
    </w:p>
    <w:p w14:paraId="3C2FDBF5" w14:textId="77777777" w:rsidR="002E2EBC" w:rsidRDefault="002E2EBC" w:rsidP="000B5B68">
      <w:pPr>
        <w:rPr>
          <w:rFonts w:ascii="Arial" w:hAnsi="Arial" w:cs="Arial"/>
          <w:b/>
          <w:bCs/>
          <w:sz w:val="24"/>
          <w:szCs w:val="24"/>
        </w:rPr>
      </w:pPr>
      <w:r w:rsidRPr="002E2EBC">
        <w:rPr>
          <w:rFonts w:ascii="Arial" w:hAnsi="Arial" w:cs="Arial"/>
          <w:b/>
          <w:bCs/>
          <w:sz w:val="24"/>
          <w:szCs w:val="24"/>
        </w:rPr>
        <w:t>Rundt 1938 ble en metode basert på absorpsjon av infrarød stråling tatt i bruk. Det er mer presist, og i 1958 startet kontinuerlige målinger fra Mauna Loa-observatoriet på Hawaii (3400 m.o.s.) som viser at mengden CO</w:t>
      </w:r>
      <w:r w:rsidRPr="002E2EBC">
        <w:rPr>
          <w:rFonts w:ascii="Arial" w:hAnsi="Arial" w:cs="Arial"/>
          <w:b/>
          <w:bCs/>
          <w:sz w:val="24"/>
          <w:szCs w:val="24"/>
          <w:vertAlign w:val="subscript"/>
        </w:rPr>
        <w:t>2</w:t>
      </w:r>
      <w:r w:rsidRPr="002E2EBC">
        <w:rPr>
          <w:rFonts w:ascii="Arial" w:hAnsi="Arial" w:cs="Arial"/>
          <w:b/>
          <w:bCs/>
          <w:sz w:val="24"/>
          <w:szCs w:val="24"/>
        </w:rPr>
        <w:t xml:space="preserve"> i atmosfæren øker.</w:t>
      </w:r>
    </w:p>
    <w:p w14:paraId="5FA6D89A" w14:textId="4F7F5856" w:rsidR="00015090" w:rsidRDefault="00015090">
      <w:pPr>
        <w:rPr>
          <w:rFonts w:ascii="Arial" w:hAnsi="Arial" w:cs="Arial"/>
          <w:b/>
          <w:bCs/>
          <w:sz w:val="24"/>
          <w:szCs w:val="24"/>
        </w:rPr>
      </w:pPr>
      <w:r w:rsidRPr="00015090">
        <w:rPr>
          <w:rFonts w:ascii="Arial" w:hAnsi="Arial" w:cs="Arial"/>
          <w:b/>
          <w:bCs/>
          <w:sz w:val="24"/>
          <w:szCs w:val="24"/>
        </w:rPr>
        <w:t xml:space="preserve">En tysk forsker, Ernst-Georg Beck, har gjennomgått 979 publikasjoner og funnet mer enn 200 000 kjemiske luftanalyser som han har studert nærmere. </w:t>
      </w:r>
      <w:r w:rsidR="00E369E5">
        <w:rPr>
          <w:rFonts w:ascii="Arial" w:hAnsi="Arial" w:cs="Arial"/>
          <w:b/>
          <w:bCs/>
          <w:sz w:val="24"/>
          <w:szCs w:val="24"/>
        </w:rPr>
        <w:t>Ca</w:t>
      </w:r>
      <w:r w:rsidRPr="00015090">
        <w:rPr>
          <w:rFonts w:ascii="Arial" w:hAnsi="Arial" w:cs="Arial"/>
          <w:b/>
          <w:bCs/>
          <w:sz w:val="24"/>
          <w:szCs w:val="24"/>
        </w:rPr>
        <w:t>. 100 000 målinger hadde tilleggsinformasjon som gjorde ham i stand til å bruke målingene til å beregne atmosfæriske CO</w:t>
      </w:r>
      <w:r w:rsidRPr="00E369E5">
        <w:rPr>
          <w:rFonts w:ascii="Arial" w:hAnsi="Arial" w:cs="Arial"/>
          <w:b/>
          <w:bCs/>
          <w:sz w:val="24"/>
          <w:szCs w:val="24"/>
          <w:vertAlign w:val="subscript"/>
        </w:rPr>
        <w:t>2</w:t>
      </w:r>
      <w:r w:rsidRPr="00015090">
        <w:rPr>
          <w:rFonts w:ascii="Arial" w:hAnsi="Arial" w:cs="Arial"/>
          <w:b/>
          <w:bCs/>
          <w:sz w:val="24"/>
          <w:szCs w:val="24"/>
        </w:rPr>
        <w:t>-mengder så langt tilbake som i 1826. Han fant at etter et kraftig regnvær og etter sterk vind er atmosfæren godt blandet og målinger ved bakken viser nesten det samme som høy</w:t>
      </w:r>
      <w:r w:rsidR="00E369E5">
        <w:rPr>
          <w:rFonts w:ascii="Arial" w:hAnsi="Arial" w:cs="Arial"/>
          <w:b/>
          <w:bCs/>
          <w:sz w:val="24"/>
          <w:szCs w:val="24"/>
        </w:rPr>
        <w:t>t</w:t>
      </w:r>
      <w:r w:rsidRPr="00015090">
        <w:rPr>
          <w:rFonts w:ascii="Arial" w:hAnsi="Arial" w:cs="Arial"/>
          <w:b/>
          <w:bCs/>
          <w:sz w:val="24"/>
          <w:szCs w:val="24"/>
        </w:rPr>
        <w:t xml:space="preserve"> oppe i atmosfæren. Særlig fant han gode målinger fra stasjoner ved sjøen eller på fjellstasjoner.</w:t>
      </w:r>
    </w:p>
    <w:p w14:paraId="1ABB311A" w14:textId="623A1716" w:rsidR="00F22CF4" w:rsidRDefault="00F22CF4">
      <w:pPr>
        <w:rPr>
          <w:rFonts w:ascii="Arial" w:hAnsi="Arial" w:cs="Arial"/>
          <w:b/>
          <w:bCs/>
          <w:sz w:val="40"/>
          <w:szCs w:val="40"/>
          <w:u w:val="single"/>
        </w:rPr>
      </w:pPr>
      <w:r>
        <w:rPr>
          <w:rFonts w:ascii="Arial" w:hAnsi="Arial" w:cs="Arial"/>
          <w:b/>
          <w:bCs/>
          <w:noProof/>
          <w:sz w:val="40"/>
          <w:szCs w:val="40"/>
          <w:u w:val="single"/>
        </w:rPr>
        <w:drawing>
          <wp:inline distT="0" distB="0" distL="0" distR="0" wp14:anchorId="43089690" wp14:editId="30846597">
            <wp:extent cx="8737600" cy="4379973"/>
            <wp:effectExtent l="0" t="0" r="635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8987" cy="4390694"/>
                    </a:xfrm>
                    <a:prstGeom prst="rect">
                      <a:avLst/>
                    </a:prstGeom>
                    <a:noFill/>
                  </pic:spPr>
                </pic:pic>
              </a:graphicData>
            </a:graphic>
          </wp:inline>
        </w:drawing>
      </w:r>
    </w:p>
    <w:p w14:paraId="531486FE" w14:textId="77777777" w:rsidR="00BE1344" w:rsidRDefault="00BE1344" w:rsidP="00F22CF4">
      <w:pPr>
        <w:rPr>
          <w:rFonts w:ascii="Arial" w:hAnsi="Arial" w:cs="Arial"/>
          <w:b/>
          <w:bCs/>
          <w:sz w:val="24"/>
          <w:szCs w:val="24"/>
        </w:rPr>
      </w:pPr>
      <w:r w:rsidRPr="00BE1344">
        <w:rPr>
          <w:rFonts w:ascii="Arial" w:hAnsi="Arial" w:cs="Arial"/>
          <w:b/>
          <w:bCs/>
          <w:sz w:val="24"/>
          <w:szCs w:val="24"/>
        </w:rPr>
        <w:t>Atmosfærisk CO</w:t>
      </w:r>
      <w:r w:rsidRPr="00BE1344">
        <w:rPr>
          <w:rFonts w:ascii="Arial" w:hAnsi="Arial" w:cs="Arial"/>
          <w:b/>
          <w:bCs/>
          <w:sz w:val="24"/>
          <w:szCs w:val="24"/>
          <w:vertAlign w:val="subscript"/>
        </w:rPr>
        <w:t>2</w:t>
      </w:r>
      <w:r w:rsidRPr="00BE1344">
        <w:rPr>
          <w:rFonts w:ascii="Arial" w:hAnsi="Arial" w:cs="Arial"/>
          <w:b/>
          <w:bCs/>
          <w:sz w:val="24"/>
          <w:szCs w:val="24"/>
        </w:rPr>
        <w:t>-bakgrunnsnivå 1826–1960 estimert fra kjemiske analyser. Den røde linjen viser årlige verdier, den svarte er en jevnet kurve. Gråsone er estimert usikkerhet. Mengden CO</w:t>
      </w:r>
      <w:r w:rsidRPr="00BE1344">
        <w:rPr>
          <w:rFonts w:ascii="Arial" w:hAnsi="Arial" w:cs="Arial"/>
          <w:b/>
          <w:bCs/>
          <w:sz w:val="24"/>
          <w:szCs w:val="24"/>
          <w:vertAlign w:val="subscript"/>
        </w:rPr>
        <w:t>2</w:t>
      </w:r>
      <w:r w:rsidRPr="00BE1344">
        <w:rPr>
          <w:rFonts w:ascii="Arial" w:hAnsi="Arial" w:cs="Arial"/>
          <w:b/>
          <w:bCs/>
          <w:sz w:val="24"/>
          <w:szCs w:val="24"/>
        </w:rPr>
        <w:t xml:space="preserve"> er så liten at den utgjør mellom 300 og 400 deler per million (0,03 til 0,04 %) av gassene i atmosfæren (Beck 2022).</w:t>
      </w:r>
    </w:p>
    <w:p w14:paraId="42C080A4" w14:textId="6113E2E4" w:rsidR="000E5DB3" w:rsidRDefault="004946EB" w:rsidP="00131BF5">
      <w:pPr>
        <w:rPr>
          <w:rFonts w:ascii="Arial" w:hAnsi="Arial" w:cs="Arial"/>
          <w:b/>
          <w:bCs/>
          <w:sz w:val="24"/>
          <w:szCs w:val="24"/>
        </w:rPr>
      </w:pPr>
      <w:r w:rsidRPr="004946EB">
        <w:rPr>
          <w:rFonts w:ascii="Arial" w:hAnsi="Arial" w:cs="Arial"/>
          <w:b/>
          <w:bCs/>
          <w:sz w:val="24"/>
          <w:szCs w:val="24"/>
        </w:rPr>
        <w:t>De høye CO</w:t>
      </w:r>
      <w:r w:rsidRPr="004946EB">
        <w:rPr>
          <w:rFonts w:ascii="Arial" w:hAnsi="Arial" w:cs="Arial"/>
          <w:b/>
          <w:bCs/>
          <w:sz w:val="24"/>
          <w:szCs w:val="24"/>
          <w:vertAlign w:val="subscript"/>
        </w:rPr>
        <w:t>2</w:t>
      </w:r>
      <w:r w:rsidRPr="004946EB">
        <w:rPr>
          <w:rFonts w:ascii="Arial" w:hAnsi="Arial" w:cs="Arial"/>
          <w:b/>
          <w:bCs/>
          <w:sz w:val="24"/>
          <w:szCs w:val="24"/>
        </w:rPr>
        <w:t>-verdiene mellom 1930 og 1950 er basert på 25 undersøkelser på like mange steder. Totalt ble det analysert over 60 000 prøver i denne perioden. De fleste i Nord-Europa.</w:t>
      </w:r>
    </w:p>
    <w:tbl>
      <w:tblPr>
        <w:tblStyle w:val="Tabellrutenett"/>
        <w:tblW w:w="16019" w:type="dxa"/>
        <w:tblInd w:w="-998" w:type="dxa"/>
        <w:tblLook w:val="04A0" w:firstRow="1" w:lastRow="0" w:firstColumn="1" w:lastColumn="0" w:noHBand="0" w:noVBand="1"/>
      </w:tblPr>
      <w:tblGrid>
        <w:gridCol w:w="7785"/>
        <w:gridCol w:w="8385"/>
      </w:tblGrid>
      <w:tr w:rsidR="00851A6A" w14:paraId="447A19A5" w14:textId="77777777" w:rsidTr="00851A6A">
        <w:tc>
          <w:tcPr>
            <w:tcW w:w="7785" w:type="dxa"/>
          </w:tcPr>
          <w:p w14:paraId="1BA3C0B6" w14:textId="527E8E02" w:rsidR="000E5DB3" w:rsidRDefault="00851A6A" w:rsidP="00131BF5">
            <w:pPr>
              <w:rPr>
                <w:rFonts w:ascii="Arial" w:hAnsi="Arial" w:cs="Arial"/>
                <w:b/>
                <w:bCs/>
                <w:sz w:val="24"/>
                <w:szCs w:val="24"/>
              </w:rPr>
            </w:pPr>
            <w:r>
              <w:rPr>
                <w:noProof/>
              </w:rPr>
              <w:drawing>
                <wp:inline distT="0" distB="0" distL="0" distR="0" wp14:anchorId="386383EF" wp14:editId="33068618">
                  <wp:extent cx="4806462" cy="2468444"/>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4847" cy="2493293"/>
                          </a:xfrm>
                          <a:prstGeom prst="rect">
                            <a:avLst/>
                          </a:prstGeom>
                          <a:noFill/>
                          <a:ln>
                            <a:noFill/>
                          </a:ln>
                        </pic:spPr>
                      </pic:pic>
                    </a:graphicData>
                  </a:graphic>
                </wp:inline>
              </w:drawing>
            </w:r>
          </w:p>
        </w:tc>
        <w:tc>
          <w:tcPr>
            <w:tcW w:w="8234" w:type="dxa"/>
          </w:tcPr>
          <w:p w14:paraId="7424D7DC" w14:textId="745401A8" w:rsidR="000E5DB3" w:rsidRDefault="00851A6A" w:rsidP="00131BF5">
            <w:pPr>
              <w:rPr>
                <w:rFonts w:ascii="Arial" w:hAnsi="Arial" w:cs="Arial"/>
                <w:b/>
                <w:bCs/>
                <w:sz w:val="24"/>
                <w:szCs w:val="24"/>
              </w:rPr>
            </w:pPr>
            <w:r>
              <w:rPr>
                <w:noProof/>
              </w:rPr>
              <w:drawing>
                <wp:inline distT="0" distB="0" distL="0" distR="0" wp14:anchorId="063AE7B4" wp14:editId="10D94C68">
                  <wp:extent cx="5187813" cy="2379785"/>
                  <wp:effectExtent l="0" t="0" r="0" b="190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2880" cy="2405046"/>
                          </a:xfrm>
                          <a:prstGeom prst="rect">
                            <a:avLst/>
                          </a:prstGeom>
                          <a:noFill/>
                          <a:ln>
                            <a:noFill/>
                          </a:ln>
                        </pic:spPr>
                      </pic:pic>
                    </a:graphicData>
                  </a:graphic>
                </wp:inline>
              </w:drawing>
            </w:r>
          </w:p>
        </w:tc>
      </w:tr>
      <w:tr w:rsidR="00851A6A" w14:paraId="4A5CB0A6" w14:textId="77777777" w:rsidTr="00851A6A">
        <w:tc>
          <w:tcPr>
            <w:tcW w:w="7785" w:type="dxa"/>
          </w:tcPr>
          <w:p w14:paraId="1B369933" w14:textId="3671ABDA" w:rsidR="000E5DB3" w:rsidRPr="00851A6A" w:rsidRDefault="00F52314" w:rsidP="00851A6A">
            <w:pPr>
              <w:rPr>
                <w:rFonts w:ascii="Arial" w:hAnsi="Arial" w:cs="Arial"/>
                <w:b/>
                <w:bCs/>
                <w:sz w:val="24"/>
                <w:szCs w:val="24"/>
              </w:rPr>
            </w:pPr>
            <w:r w:rsidRPr="00F52314">
              <w:rPr>
                <w:rFonts w:ascii="Arial" w:hAnsi="Arial" w:cs="Arial"/>
                <w:b/>
                <w:bCs/>
                <w:sz w:val="24"/>
                <w:szCs w:val="24"/>
              </w:rPr>
              <w:t>Mellom 1800 og 1960 ble det gjennomført 901 målinger av CO</w:t>
            </w:r>
            <w:r w:rsidRPr="00F52314">
              <w:rPr>
                <w:rFonts w:ascii="Arial" w:hAnsi="Arial" w:cs="Arial"/>
                <w:b/>
                <w:bCs/>
                <w:sz w:val="24"/>
                <w:szCs w:val="24"/>
                <w:vertAlign w:val="subscript"/>
              </w:rPr>
              <w:t>2</w:t>
            </w:r>
            <w:r w:rsidRPr="00F52314">
              <w:rPr>
                <w:rFonts w:ascii="Arial" w:hAnsi="Arial" w:cs="Arial"/>
                <w:b/>
                <w:bCs/>
                <w:sz w:val="24"/>
                <w:szCs w:val="24"/>
              </w:rPr>
              <w:t>-nivået i luften nært bakkenivå. Disse målingene ble fordelt over ulike geografiske områder, men de fleste av dem ble gjort på den nordlige halvkule. Omtrent tre fjerdedeler av målingene ble utført mellom 40 og 80 grader nordlig bredde, og omtrent halvparten av dem ble gjort over havområder eller langs kystlinjen.</w:t>
            </w:r>
          </w:p>
        </w:tc>
        <w:tc>
          <w:tcPr>
            <w:tcW w:w="8234" w:type="dxa"/>
          </w:tcPr>
          <w:p w14:paraId="13B77EDA" w14:textId="77777777" w:rsidR="000E5DB3" w:rsidRDefault="00851A6A" w:rsidP="00851A6A">
            <w:pPr>
              <w:rPr>
                <w:rFonts w:ascii="Arial" w:hAnsi="Arial" w:cs="Arial"/>
                <w:b/>
                <w:bCs/>
                <w:sz w:val="24"/>
                <w:szCs w:val="24"/>
              </w:rPr>
            </w:pPr>
            <w:r w:rsidRPr="00851A6A">
              <w:rPr>
                <w:rFonts w:ascii="Arial" w:hAnsi="Arial" w:cs="Arial"/>
                <w:b/>
                <w:bCs/>
                <w:sz w:val="24"/>
                <w:szCs w:val="24"/>
              </w:rPr>
              <w:t>Antall prøver per år.</w:t>
            </w:r>
          </w:p>
          <w:p w14:paraId="25A73A55" w14:textId="0DA5951C" w:rsidR="0070743A" w:rsidRDefault="0070743A" w:rsidP="00851A6A">
            <w:pPr>
              <w:rPr>
                <w:rFonts w:ascii="Arial" w:hAnsi="Arial" w:cs="Arial"/>
                <w:b/>
                <w:bCs/>
                <w:sz w:val="24"/>
                <w:szCs w:val="24"/>
              </w:rPr>
            </w:pPr>
            <w:r>
              <w:rPr>
                <w:rFonts w:ascii="Arial" w:hAnsi="Arial" w:cs="Arial"/>
                <w:b/>
                <w:bCs/>
                <w:sz w:val="24"/>
                <w:szCs w:val="24"/>
              </w:rPr>
              <w:t>1939 – 40: 24039 målinger</w:t>
            </w:r>
          </w:p>
          <w:p w14:paraId="189FED3B" w14:textId="0439801E" w:rsidR="0070743A" w:rsidRPr="00851A6A" w:rsidRDefault="0070743A" w:rsidP="00851A6A">
            <w:pPr>
              <w:rPr>
                <w:rFonts w:ascii="Arial" w:hAnsi="Arial" w:cs="Arial"/>
                <w:b/>
                <w:bCs/>
                <w:sz w:val="24"/>
                <w:szCs w:val="24"/>
              </w:rPr>
            </w:pPr>
            <w:r>
              <w:rPr>
                <w:rFonts w:ascii="Arial" w:hAnsi="Arial" w:cs="Arial"/>
                <w:b/>
                <w:bCs/>
                <w:sz w:val="24"/>
                <w:szCs w:val="24"/>
              </w:rPr>
              <w:t>1950 – 51: 19712 målinger</w:t>
            </w:r>
          </w:p>
        </w:tc>
      </w:tr>
    </w:tbl>
    <w:p w14:paraId="7059ACAB" w14:textId="18AB4D6E" w:rsidR="00131BF5" w:rsidRPr="00131BF5" w:rsidRDefault="00131BF5" w:rsidP="00131BF5">
      <w:pPr>
        <w:rPr>
          <w:rFonts w:ascii="Arial" w:hAnsi="Arial" w:cs="Arial"/>
          <w:b/>
          <w:bCs/>
          <w:sz w:val="24"/>
          <w:szCs w:val="24"/>
          <w:u w:val="single"/>
        </w:rPr>
      </w:pPr>
      <w:r w:rsidRPr="00131BF5">
        <w:rPr>
          <w:rFonts w:ascii="Arial" w:hAnsi="Arial" w:cs="Arial"/>
          <w:b/>
          <w:bCs/>
          <w:sz w:val="24"/>
          <w:szCs w:val="24"/>
          <w:u w:val="single"/>
        </w:rPr>
        <w:t>Artikkel</w:t>
      </w:r>
    </w:p>
    <w:p w14:paraId="7EC628BC" w14:textId="4BB74819" w:rsidR="00131BF5" w:rsidRPr="00131BF5" w:rsidRDefault="00131BF5" w:rsidP="00131BF5">
      <w:pPr>
        <w:pStyle w:val="Listeavsnitt"/>
        <w:numPr>
          <w:ilvl w:val="0"/>
          <w:numId w:val="1"/>
        </w:numPr>
        <w:rPr>
          <w:rFonts w:ascii="Arial" w:hAnsi="Arial" w:cs="Arial"/>
          <w:sz w:val="24"/>
          <w:szCs w:val="24"/>
        </w:rPr>
      </w:pPr>
      <w:r w:rsidRPr="00131BF5">
        <w:rPr>
          <w:rFonts w:ascii="Arial" w:hAnsi="Arial" w:cs="Arial"/>
          <w:sz w:val="24"/>
          <w:szCs w:val="24"/>
        </w:rPr>
        <w:t>Ernst-Georg Beck 2022, Reconstruction of Atmospheric CO2 Background Levels since 1826 from Direct Measurements near Ground, Science of Climate Change, 2, 148-211.</w:t>
      </w:r>
    </w:p>
    <w:sectPr w:rsidR="00131BF5" w:rsidRPr="00131BF5" w:rsidSect="00DE799F">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902B" w14:textId="77777777" w:rsidR="00DE799F" w:rsidRDefault="00DE799F" w:rsidP="005F736F">
      <w:pPr>
        <w:spacing w:after="0" w:line="240" w:lineRule="auto"/>
      </w:pPr>
      <w:r>
        <w:separator/>
      </w:r>
    </w:p>
  </w:endnote>
  <w:endnote w:type="continuationSeparator" w:id="0">
    <w:p w14:paraId="464EAA11" w14:textId="77777777" w:rsidR="00DE799F" w:rsidRDefault="00DE799F" w:rsidP="005F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9CE" w14:textId="77777777" w:rsidR="00DE799F" w:rsidRDefault="00DE799F" w:rsidP="005F736F">
      <w:pPr>
        <w:spacing w:after="0" w:line="240" w:lineRule="auto"/>
      </w:pPr>
      <w:r>
        <w:separator/>
      </w:r>
    </w:p>
  </w:footnote>
  <w:footnote w:type="continuationSeparator" w:id="0">
    <w:p w14:paraId="2BFB89BC" w14:textId="77777777" w:rsidR="00DE799F" w:rsidRDefault="00DE799F" w:rsidP="005F7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C43D3"/>
    <w:multiLevelType w:val="hybridMultilevel"/>
    <w:tmpl w:val="5178D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767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F4"/>
    <w:rsid w:val="00015090"/>
    <w:rsid w:val="000B5B68"/>
    <w:rsid w:val="000E5DB3"/>
    <w:rsid w:val="00131BF5"/>
    <w:rsid w:val="00230A21"/>
    <w:rsid w:val="002E2EBC"/>
    <w:rsid w:val="004946EB"/>
    <w:rsid w:val="005F736F"/>
    <w:rsid w:val="006B3B23"/>
    <w:rsid w:val="006C4D75"/>
    <w:rsid w:val="0070743A"/>
    <w:rsid w:val="00851A6A"/>
    <w:rsid w:val="00B42136"/>
    <w:rsid w:val="00BE1344"/>
    <w:rsid w:val="00DE799F"/>
    <w:rsid w:val="00E369E5"/>
    <w:rsid w:val="00E37765"/>
    <w:rsid w:val="00F22CF4"/>
    <w:rsid w:val="00F52314"/>
    <w:rsid w:val="00F834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AEFAE"/>
  <w15:chartTrackingRefBased/>
  <w15:docId w15:val="{A27991BA-D411-414F-A9EA-B1E7392E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F22CF4"/>
    <w:rPr>
      <w:i/>
      <w:iCs/>
    </w:rPr>
  </w:style>
  <w:style w:type="paragraph" w:styleId="NormalWeb">
    <w:name w:val="Normal (Web)"/>
    <w:basedOn w:val="Normal"/>
    <w:uiPriority w:val="99"/>
    <w:semiHidden/>
    <w:unhideWhenUsed/>
    <w:rsid w:val="000B5B6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31BF5"/>
    <w:pPr>
      <w:ind w:left="720"/>
      <w:contextualSpacing/>
    </w:pPr>
  </w:style>
  <w:style w:type="table" w:styleId="Tabellrutenett">
    <w:name w:val="Table Grid"/>
    <w:basedOn w:val="Vanligtabell"/>
    <w:uiPriority w:val="39"/>
    <w:rsid w:val="000E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skriftforavsnitt"/>
    <w:rsid w:val="0085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394</Words>
  <Characters>2092</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10</cp:revision>
  <dcterms:created xsi:type="dcterms:W3CDTF">2023-02-05T16:04:00Z</dcterms:created>
  <dcterms:modified xsi:type="dcterms:W3CDTF">2024-01-20T16:26:00Z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2023-02-05T17:29:37Z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6a7f41c2-12f4-4e32-8ce7-0000e119c0d7</vt:lpwstr>
  </property>
  <property fmtid="{D5CDD505-2E9C-101B-9397-08002B2CF9AE}" pid="8" name="MSIP_Label_593ecc0f-ccb9-4361-8333-eab9c279fcaa_ContentBits">
    <vt:lpwstr>0</vt:lpwstr>
  </property>
</Properties>
</file>