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67F29" w14:textId="47459F26" w:rsidR="00230A21" w:rsidRPr="0089479D" w:rsidRDefault="00BA1672">
      <w:pPr>
        <w:rPr>
          <w:rFonts w:ascii="Arial" w:hAnsi="Arial" w:cs="Arial"/>
          <w:b/>
          <w:bCs/>
          <w:sz w:val="32"/>
          <w:szCs w:val="32"/>
          <w:u w:val="single"/>
        </w:rPr>
      </w:pPr>
      <w:r w:rsidRPr="0089479D">
        <w:rPr>
          <w:rFonts w:ascii="Arial" w:hAnsi="Arial" w:cs="Arial"/>
          <w:b/>
          <w:bCs/>
          <w:sz w:val="32"/>
          <w:szCs w:val="32"/>
          <w:u w:val="single"/>
        </w:rPr>
        <w:t>Hvor stor prosentandel av vindkraften går med tap?</w:t>
      </w:r>
    </w:p>
    <w:p w14:paraId="479457B1" w14:textId="77777777" w:rsidR="0089479D" w:rsidRDefault="0089479D">
      <w:pPr>
        <w:rPr>
          <w:rFonts w:ascii="Arial" w:hAnsi="Arial" w:cs="Arial"/>
          <w:b/>
          <w:bCs/>
          <w:sz w:val="24"/>
          <w:szCs w:val="24"/>
        </w:rPr>
      </w:pPr>
      <w:r w:rsidRPr="0089479D">
        <w:rPr>
          <w:rFonts w:ascii="Arial" w:hAnsi="Arial" w:cs="Arial"/>
          <w:b/>
          <w:bCs/>
          <w:sz w:val="24"/>
          <w:szCs w:val="24"/>
        </w:rPr>
        <w:t>Svensk vindkraft har opplevd vedvarende lønnsomhetsproblemer i perioden 2017-2022. Hele 69% av vindturbinene befant seg i selskaper som gikk med underskudd, og i gjennomsnitt viste 58% av selskapene røde tall. Til tross for disse utfordringene, beskriver bransjerepresentanter 2022 som et godt år. Dette året opplevde 49 prosent av selskapene tap, og 68 prosent av vindmøllene var ulønnsomme.</w:t>
      </w:r>
    </w:p>
    <w:p w14:paraId="3FF636D0" w14:textId="77777777" w:rsidR="00BA1672" w:rsidRPr="0089479D" w:rsidRDefault="00BA1672">
      <w:pPr>
        <w:rPr>
          <w:rFonts w:ascii="Arial" w:hAnsi="Arial" w:cs="Arial"/>
          <w:b/>
          <w:bCs/>
          <w:sz w:val="24"/>
          <w:szCs w:val="24"/>
        </w:rPr>
      </w:pPr>
    </w:p>
    <w:p w14:paraId="49266DB0" w14:textId="5ADF311E" w:rsidR="00BA1672" w:rsidRPr="0089479D" w:rsidRDefault="00BA1672" w:rsidP="00BA1672">
      <w:pPr>
        <w:rPr>
          <w:rFonts w:ascii="Arial" w:hAnsi="Arial" w:cs="Arial"/>
          <w:b/>
          <w:bCs/>
          <w:sz w:val="24"/>
          <w:szCs w:val="24"/>
        </w:rPr>
      </w:pPr>
      <w:r w:rsidRPr="0089479D">
        <w:rPr>
          <w:rFonts w:ascii="Arial" w:hAnsi="Arial" w:cs="Arial"/>
          <w:b/>
          <w:bCs/>
          <w:sz w:val="24"/>
          <w:szCs w:val="24"/>
        </w:rPr>
        <w:t xml:space="preserve">Av Kristen </w:t>
      </w:r>
      <w:proofErr w:type="spellStart"/>
      <w:r w:rsidRPr="0089479D">
        <w:rPr>
          <w:rFonts w:ascii="Arial" w:hAnsi="Arial" w:cs="Arial"/>
          <w:b/>
          <w:bCs/>
          <w:sz w:val="24"/>
          <w:szCs w:val="24"/>
        </w:rPr>
        <w:t>Sandström</w:t>
      </w:r>
      <w:proofErr w:type="spellEnd"/>
      <w:r w:rsidRPr="0089479D">
        <w:rPr>
          <w:rFonts w:ascii="Arial" w:hAnsi="Arial" w:cs="Arial"/>
          <w:b/>
          <w:bCs/>
          <w:sz w:val="24"/>
          <w:szCs w:val="24"/>
        </w:rPr>
        <w:t xml:space="preserve"> og Kristen Steinbeck, 1 mai 2024, Affärsvärlden</w:t>
      </w:r>
    </w:p>
    <w:p w14:paraId="351E533F" w14:textId="77777777" w:rsidR="00BA1672" w:rsidRDefault="00BA1672" w:rsidP="00BA1672"/>
    <w:p w14:paraId="45D26410" w14:textId="5BDB305A" w:rsidR="00BA1672" w:rsidRDefault="00BA1672" w:rsidP="00BA1672">
      <w:r>
        <w:rPr>
          <w:noProof/>
        </w:rPr>
        <w:drawing>
          <wp:inline distT="0" distB="0" distL="0" distR="0" wp14:anchorId="472175E7" wp14:editId="54485B89">
            <wp:extent cx="6153150" cy="4102100"/>
            <wp:effectExtent l="0" t="0" r="0" b="0"/>
            <wp:docPr id="1135540356"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60548" cy="4107032"/>
                    </a:xfrm>
                    <a:prstGeom prst="rect">
                      <a:avLst/>
                    </a:prstGeom>
                    <a:noFill/>
                  </pic:spPr>
                </pic:pic>
              </a:graphicData>
            </a:graphic>
          </wp:inline>
        </w:drawing>
      </w:r>
    </w:p>
    <w:p w14:paraId="6AD37DDF" w14:textId="30E82E69" w:rsidR="00BA1672" w:rsidRPr="00B75546" w:rsidRDefault="00BA1672" w:rsidP="00BA1672">
      <w:pPr>
        <w:rPr>
          <w:rFonts w:ascii="Arial" w:hAnsi="Arial" w:cs="Arial"/>
          <w:b/>
          <w:bCs/>
          <w:sz w:val="24"/>
          <w:szCs w:val="24"/>
        </w:rPr>
      </w:pPr>
      <w:proofErr w:type="spellStart"/>
      <w:r w:rsidRPr="00B75546">
        <w:rPr>
          <w:rFonts w:ascii="Arial" w:hAnsi="Arial" w:cs="Arial"/>
          <w:b/>
          <w:bCs/>
          <w:sz w:val="24"/>
          <w:szCs w:val="24"/>
        </w:rPr>
        <w:t>Markbygden</w:t>
      </w:r>
      <w:proofErr w:type="spellEnd"/>
      <w:r w:rsidRPr="00B75546">
        <w:rPr>
          <w:rFonts w:ascii="Arial" w:hAnsi="Arial" w:cs="Arial"/>
          <w:b/>
          <w:bCs/>
          <w:sz w:val="24"/>
          <w:szCs w:val="24"/>
        </w:rPr>
        <w:t xml:space="preserve"> 1101 utenfor Piteå</w:t>
      </w:r>
    </w:p>
    <w:p w14:paraId="1555CFB0" w14:textId="77777777" w:rsidR="00BA1672" w:rsidRDefault="00BA1672" w:rsidP="00BA1672"/>
    <w:p w14:paraId="20A69655" w14:textId="4A192723" w:rsidR="003D513C" w:rsidRPr="003D513C" w:rsidRDefault="003D513C" w:rsidP="003D513C">
      <w:pPr>
        <w:rPr>
          <w:rFonts w:ascii="Arial" w:hAnsi="Arial" w:cs="Arial"/>
          <w:b/>
          <w:bCs/>
          <w:sz w:val="24"/>
          <w:szCs w:val="24"/>
        </w:rPr>
      </w:pPr>
      <w:r w:rsidRPr="003D513C">
        <w:rPr>
          <w:rFonts w:ascii="Arial" w:hAnsi="Arial" w:cs="Arial"/>
          <w:b/>
          <w:bCs/>
          <w:sz w:val="24"/>
          <w:szCs w:val="24"/>
        </w:rPr>
        <w:t>Som vi har påpekt i flere artikler, har vindkraftverk i Sverige vist seg å være lite lønnsomme. I perioden 2017-2022 var den gjennomsnittlige tapsmarginen etter finansposter på 39,4%. Halvparten av vindturbinene befinner seg i selskaper som har mottatt aksjonærbidrag i løpet av disse årene.</w:t>
      </w:r>
    </w:p>
    <w:p w14:paraId="4428A33B" w14:textId="41FF4F65" w:rsidR="003D513C" w:rsidRPr="003D513C" w:rsidRDefault="003D513C" w:rsidP="003D513C">
      <w:pPr>
        <w:rPr>
          <w:rFonts w:ascii="Arial" w:hAnsi="Arial" w:cs="Arial"/>
          <w:b/>
          <w:bCs/>
          <w:sz w:val="24"/>
          <w:szCs w:val="24"/>
        </w:rPr>
      </w:pPr>
      <w:r w:rsidRPr="003D513C">
        <w:rPr>
          <w:rFonts w:ascii="Arial" w:hAnsi="Arial" w:cs="Arial"/>
          <w:b/>
          <w:bCs/>
          <w:sz w:val="24"/>
          <w:szCs w:val="24"/>
        </w:rPr>
        <w:t xml:space="preserve">Disse tapene og de økonomiske utfordringene kan være konsentrert i noen få store anlegg som taper betydelige summer. Per </w:t>
      </w:r>
      <w:proofErr w:type="spellStart"/>
      <w:r w:rsidRPr="003D513C">
        <w:rPr>
          <w:rFonts w:ascii="Arial" w:hAnsi="Arial" w:cs="Arial"/>
          <w:b/>
          <w:bCs/>
          <w:sz w:val="24"/>
          <w:szCs w:val="24"/>
        </w:rPr>
        <w:t>Witalisson</w:t>
      </w:r>
      <w:proofErr w:type="spellEnd"/>
      <w:r w:rsidRPr="003D513C">
        <w:rPr>
          <w:rFonts w:ascii="Arial" w:hAnsi="Arial" w:cs="Arial"/>
          <w:b/>
          <w:bCs/>
          <w:sz w:val="24"/>
          <w:szCs w:val="24"/>
        </w:rPr>
        <w:t xml:space="preserve">, administrerende direktør i </w:t>
      </w:r>
      <w:proofErr w:type="spellStart"/>
      <w:r w:rsidRPr="003D513C">
        <w:rPr>
          <w:rFonts w:ascii="Arial" w:hAnsi="Arial" w:cs="Arial"/>
          <w:b/>
          <w:bCs/>
          <w:sz w:val="24"/>
          <w:szCs w:val="24"/>
        </w:rPr>
        <w:t>Eolus</w:t>
      </w:r>
      <w:proofErr w:type="spellEnd"/>
      <w:r w:rsidRPr="003D513C">
        <w:rPr>
          <w:rFonts w:ascii="Arial" w:hAnsi="Arial" w:cs="Arial"/>
          <w:b/>
          <w:bCs/>
          <w:sz w:val="24"/>
          <w:szCs w:val="24"/>
        </w:rPr>
        <w:t xml:space="preserve"> Vind, foreslår denne hypotesen i Second Opinion den 18. april. Han uttrykker at selskapet ikke kjenner seg igjen i tallene presentert av </w:t>
      </w:r>
      <w:r w:rsidRPr="003D513C">
        <w:rPr>
          <w:rFonts w:ascii="Arial" w:hAnsi="Arial" w:cs="Arial"/>
          <w:b/>
          <w:bCs/>
          <w:sz w:val="24"/>
          <w:szCs w:val="24"/>
        </w:rPr>
        <w:lastRenderedPageBreak/>
        <w:t>Affärsvärlden om dårlig lønnsomhet. Artikkelen beskriver 2022 som “et av de mest lønnsomme årene i den siste femårsperioden”. Som vi vil se nedenfor, er dette korrekt, men det betyr ikke nødvendigvis at selskapene har prestert spesielt godt, selv i 2022.</w:t>
      </w:r>
    </w:p>
    <w:p w14:paraId="7186E728" w14:textId="660ADEFB" w:rsidR="003D513C" w:rsidRPr="003D513C" w:rsidRDefault="003D513C" w:rsidP="003D513C">
      <w:pPr>
        <w:rPr>
          <w:rFonts w:ascii="Arial" w:hAnsi="Arial" w:cs="Arial"/>
          <w:b/>
          <w:bCs/>
          <w:sz w:val="24"/>
          <w:szCs w:val="24"/>
        </w:rPr>
      </w:pPr>
      <w:r w:rsidRPr="003D513C">
        <w:rPr>
          <w:rFonts w:ascii="Arial" w:hAnsi="Arial" w:cs="Arial"/>
          <w:b/>
          <w:bCs/>
          <w:sz w:val="24"/>
          <w:szCs w:val="24"/>
        </w:rPr>
        <w:t xml:space="preserve">I et intervju med Affärsvärlden utdyper </w:t>
      </w:r>
      <w:proofErr w:type="spellStart"/>
      <w:r w:rsidRPr="003D513C">
        <w:rPr>
          <w:rFonts w:ascii="Arial" w:hAnsi="Arial" w:cs="Arial"/>
          <w:b/>
          <w:bCs/>
          <w:sz w:val="24"/>
          <w:szCs w:val="24"/>
        </w:rPr>
        <w:t>Witalisson</w:t>
      </w:r>
      <w:proofErr w:type="spellEnd"/>
      <w:r w:rsidRPr="003D513C">
        <w:rPr>
          <w:rFonts w:ascii="Arial" w:hAnsi="Arial" w:cs="Arial"/>
          <w:b/>
          <w:bCs/>
          <w:sz w:val="24"/>
          <w:szCs w:val="24"/>
        </w:rPr>
        <w:t xml:space="preserve"> sitt syn på lønnsomhet. Han beskriver det som “relativt bra” og uttrykker at selskapet har tro på “god lønnsomhet over tid”. </w:t>
      </w:r>
      <w:proofErr w:type="spellStart"/>
      <w:r w:rsidRPr="003D513C">
        <w:rPr>
          <w:rFonts w:ascii="Arial" w:hAnsi="Arial" w:cs="Arial"/>
          <w:b/>
          <w:bCs/>
          <w:sz w:val="24"/>
          <w:szCs w:val="24"/>
        </w:rPr>
        <w:t>Witalisson</w:t>
      </w:r>
      <w:proofErr w:type="spellEnd"/>
      <w:r w:rsidRPr="003D513C">
        <w:rPr>
          <w:rFonts w:ascii="Arial" w:hAnsi="Arial" w:cs="Arial"/>
          <w:b/>
          <w:bCs/>
          <w:sz w:val="24"/>
          <w:szCs w:val="24"/>
        </w:rPr>
        <w:t xml:space="preserve"> mener at eventuelle tap hovedsakelig kan tilskrives de kinesiske og tyske selskapene CGN og RWE, som begge har vært bundet til PPA-er som har underprestert.</w:t>
      </w:r>
    </w:p>
    <w:p w14:paraId="04988F5C" w14:textId="004E7F45" w:rsidR="00BA1672" w:rsidRPr="00053FEF" w:rsidRDefault="003D513C" w:rsidP="00BA1672">
      <w:pPr>
        <w:rPr>
          <w:rFonts w:ascii="Arial" w:hAnsi="Arial" w:cs="Arial"/>
          <w:b/>
          <w:bCs/>
          <w:color w:val="0070C0"/>
          <w:sz w:val="24"/>
          <w:szCs w:val="24"/>
        </w:rPr>
      </w:pPr>
      <w:r w:rsidRPr="003D513C">
        <w:rPr>
          <w:rFonts w:ascii="Arial" w:hAnsi="Arial" w:cs="Arial"/>
          <w:b/>
          <w:bCs/>
          <w:color w:val="0070C0"/>
          <w:sz w:val="24"/>
          <w:szCs w:val="24"/>
        </w:rPr>
        <w:t xml:space="preserve">PPA står for Power </w:t>
      </w:r>
      <w:proofErr w:type="spellStart"/>
      <w:r w:rsidRPr="003D513C">
        <w:rPr>
          <w:rFonts w:ascii="Arial" w:hAnsi="Arial" w:cs="Arial"/>
          <w:b/>
          <w:bCs/>
          <w:color w:val="0070C0"/>
          <w:sz w:val="24"/>
          <w:szCs w:val="24"/>
        </w:rPr>
        <w:t>Purchase</w:t>
      </w:r>
      <w:proofErr w:type="spellEnd"/>
      <w:r w:rsidRPr="003D513C">
        <w:rPr>
          <w:rFonts w:ascii="Arial" w:hAnsi="Arial" w:cs="Arial"/>
          <w:b/>
          <w:bCs/>
          <w:color w:val="0070C0"/>
          <w:sz w:val="24"/>
          <w:szCs w:val="24"/>
        </w:rPr>
        <w:t xml:space="preserve"> Agreement. Det er en langvarig kontrakt mellom en produsent av elektrisitet og en kunde, som oftest en offentlig instans, et selskap eller en organisasjon PPA-er kan vare fra 5 til 20 år, og i løpet av denne tiden kjøper strømkunden energi til en forhåndsforhandlet pris. Disse avtalene spiller en nøkkelrolle i finansieringen av uavhengig eide elektrisitetsgeneratorer, spesielt produsenter av fornybar energi som solcelleparker eller vindparker</w:t>
      </w:r>
      <w:r>
        <w:rPr>
          <w:rFonts w:ascii="Arial" w:hAnsi="Arial" w:cs="Arial"/>
          <w:b/>
          <w:bCs/>
          <w:color w:val="0070C0"/>
          <w:sz w:val="24"/>
          <w:szCs w:val="24"/>
        </w:rPr>
        <w:t>.</w:t>
      </w:r>
    </w:p>
    <w:p w14:paraId="30394C11" w14:textId="2224FEC5" w:rsidR="00053FEF" w:rsidRPr="00053FEF" w:rsidRDefault="00053FEF" w:rsidP="00053FEF">
      <w:pPr>
        <w:rPr>
          <w:rFonts w:ascii="Arial" w:hAnsi="Arial" w:cs="Arial"/>
          <w:b/>
          <w:bCs/>
          <w:sz w:val="24"/>
          <w:szCs w:val="24"/>
        </w:rPr>
      </w:pPr>
      <w:r w:rsidRPr="00053FEF">
        <w:rPr>
          <w:rFonts w:ascii="Arial" w:hAnsi="Arial" w:cs="Arial"/>
          <w:b/>
          <w:bCs/>
          <w:sz w:val="24"/>
          <w:szCs w:val="24"/>
        </w:rPr>
        <w:t xml:space="preserve">Er CGN og RWE unntakene som påvirker gjennomsnittet, mens resten av bransjen viser sunn lønnsomhet? Dette er et interessant spørsmål som egentlig bare kan besvares med et større datasett. For å finne svaret, har vi valgt å analysere andelen vindkraftverk og vindturbiner som går med tap. En gjennomsnittlig margin på minus 39% kan </w:t>
      </w:r>
      <w:proofErr w:type="gramStart"/>
      <w:r w:rsidRPr="00053FEF">
        <w:rPr>
          <w:rFonts w:ascii="Arial" w:hAnsi="Arial" w:cs="Arial"/>
          <w:b/>
          <w:bCs/>
          <w:sz w:val="24"/>
          <w:szCs w:val="24"/>
        </w:rPr>
        <w:t>potensielt</w:t>
      </w:r>
      <w:proofErr w:type="gramEnd"/>
      <w:r w:rsidRPr="00053FEF">
        <w:rPr>
          <w:rFonts w:ascii="Arial" w:hAnsi="Arial" w:cs="Arial"/>
          <w:b/>
          <w:bCs/>
          <w:sz w:val="24"/>
          <w:szCs w:val="24"/>
        </w:rPr>
        <w:t xml:space="preserve"> være misvisende hvis noen få store aktører står for store tap. Derfor kan det være mer opplysende å se på antallet selskaper som viser røde tall, uavhengig av størrelsen på disse tallene.</w:t>
      </w:r>
    </w:p>
    <w:p w14:paraId="6D82D955" w14:textId="2127F98D" w:rsidR="00053FEF" w:rsidRPr="00053FEF" w:rsidRDefault="00053FEF" w:rsidP="00053FEF">
      <w:pPr>
        <w:rPr>
          <w:rFonts w:ascii="Arial" w:hAnsi="Arial" w:cs="Arial"/>
          <w:b/>
          <w:bCs/>
          <w:sz w:val="24"/>
          <w:szCs w:val="24"/>
        </w:rPr>
      </w:pPr>
      <w:r w:rsidRPr="00053FEF">
        <w:rPr>
          <w:rFonts w:ascii="Arial" w:hAnsi="Arial" w:cs="Arial"/>
          <w:b/>
          <w:bCs/>
          <w:sz w:val="24"/>
          <w:szCs w:val="24"/>
        </w:rPr>
        <w:t>I 2022 gikk 49% av vindkraftverkene med underskudd. I perioden 2017–2022 viste i gjennomsnitt 58% av selskapene røde tall i et gitt år. Det er derfor korrekt at 2022 var et bedre år enn tidligere år. Kanskje det sier noe om bransjens tilstand at et år der halvparten av selskapene gikk med underskudd, oppleves som et godt år?</w:t>
      </w:r>
    </w:p>
    <w:p w14:paraId="29BD73B1" w14:textId="3746E426" w:rsidR="00BA1672" w:rsidRDefault="001778B1" w:rsidP="00BA1672">
      <w:r>
        <w:rPr>
          <w:noProof/>
        </w:rPr>
        <w:lastRenderedPageBreak/>
        <w:drawing>
          <wp:inline distT="0" distB="0" distL="0" distR="0" wp14:anchorId="3631467F" wp14:editId="4D4D5FAB">
            <wp:extent cx="5715000" cy="3600450"/>
            <wp:effectExtent l="0" t="0" r="0" b="0"/>
            <wp:docPr id="1503782307" name="Bilde 4" descr="Et bilde som inneholder tekst, skjermbilde, Font, numm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782307" name="Bilde 4" descr="Et bilde som inneholder tekst, skjermbilde, Font, nummer&#10;&#10;Automatisk generer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600450"/>
                    </a:xfrm>
                    <a:prstGeom prst="rect">
                      <a:avLst/>
                    </a:prstGeom>
                    <a:noFill/>
                    <a:ln>
                      <a:noFill/>
                    </a:ln>
                  </pic:spPr>
                </pic:pic>
              </a:graphicData>
            </a:graphic>
          </wp:inline>
        </w:drawing>
      </w:r>
    </w:p>
    <w:p w14:paraId="49A87A56" w14:textId="77777777" w:rsidR="00EC4D5A" w:rsidRPr="00EC4D5A" w:rsidRDefault="00EC4D5A" w:rsidP="00BA1672">
      <w:pPr>
        <w:rPr>
          <w:rFonts w:ascii="Arial" w:hAnsi="Arial" w:cs="Arial"/>
          <w:b/>
          <w:bCs/>
          <w:sz w:val="24"/>
          <w:szCs w:val="24"/>
        </w:rPr>
      </w:pPr>
      <w:r w:rsidRPr="00EC4D5A">
        <w:rPr>
          <w:rFonts w:ascii="Arial" w:hAnsi="Arial" w:cs="Arial"/>
          <w:b/>
          <w:bCs/>
          <w:sz w:val="24"/>
          <w:szCs w:val="24"/>
        </w:rPr>
        <w:t>Prosentvis andel av vindturbiner som går med tap.</w:t>
      </w:r>
    </w:p>
    <w:p w14:paraId="34197CFB" w14:textId="77777777" w:rsidR="00BA1672" w:rsidRDefault="00BA1672" w:rsidP="00BA1672"/>
    <w:p w14:paraId="17FF1E8E" w14:textId="7A1FF67B" w:rsidR="001778B1" w:rsidRPr="001778B1" w:rsidRDefault="001778B1" w:rsidP="001778B1">
      <w:pPr>
        <w:rPr>
          <w:rFonts w:ascii="Arial" w:hAnsi="Arial" w:cs="Arial"/>
          <w:b/>
          <w:bCs/>
          <w:sz w:val="24"/>
          <w:szCs w:val="24"/>
        </w:rPr>
      </w:pPr>
      <w:r w:rsidRPr="001778B1">
        <w:rPr>
          <w:rFonts w:ascii="Arial" w:hAnsi="Arial" w:cs="Arial"/>
          <w:b/>
          <w:bCs/>
          <w:sz w:val="24"/>
          <w:szCs w:val="24"/>
        </w:rPr>
        <w:t>Å analysere antall selskaper som går med tap kan imidlertid føre til at store tap i store selskaper blir likestilt med små tap i små selskaper. Det kan derfor være nyttig å også vurdere andelen av vindturbiner som befinner seg i selskaper som går med underskudd.</w:t>
      </w:r>
    </w:p>
    <w:p w14:paraId="308E4919" w14:textId="1D4ED97E" w:rsidR="0089479D" w:rsidRDefault="001778B1" w:rsidP="00BA1672">
      <w:pPr>
        <w:rPr>
          <w:rFonts w:ascii="Arial" w:hAnsi="Arial" w:cs="Arial"/>
          <w:b/>
          <w:bCs/>
          <w:sz w:val="24"/>
          <w:szCs w:val="24"/>
        </w:rPr>
      </w:pPr>
      <w:r w:rsidRPr="001778B1">
        <w:rPr>
          <w:rFonts w:ascii="Arial" w:hAnsi="Arial" w:cs="Arial"/>
          <w:b/>
          <w:bCs/>
          <w:sz w:val="24"/>
          <w:szCs w:val="24"/>
        </w:rPr>
        <w:t>I 2022 utgjorde denne andelen 68%. I perioden 2017–2022 gikk i gjennomsnitt 69% av vindturbinene i selskaper med underskudd. Så sett i dette lys, var 2022 omtrent like utfordrende som det foregående året.</w:t>
      </w:r>
    </w:p>
    <w:p w14:paraId="23AA2222" w14:textId="77777777" w:rsidR="005F3228" w:rsidRDefault="005F3228" w:rsidP="00BA1672">
      <w:pPr>
        <w:rPr>
          <w:rFonts w:ascii="Arial" w:hAnsi="Arial" w:cs="Arial"/>
          <w:b/>
          <w:bCs/>
          <w:sz w:val="24"/>
          <w:szCs w:val="24"/>
        </w:rPr>
      </w:pPr>
    </w:p>
    <w:p w14:paraId="11E3A01E" w14:textId="5B0DB193" w:rsidR="005F3228" w:rsidRPr="0049564E" w:rsidRDefault="005F3228" w:rsidP="00BA1672">
      <w:pPr>
        <w:rPr>
          <w:rFonts w:ascii="Arial" w:hAnsi="Arial" w:cs="Arial"/>
          <w:b/>
          <w:bCs/>
          <w:sz w:val="24"/>
          <w:szCs w:val="24"/>
          <w:u w:val="single"/>
        </w:rPr>
      </w:pPr>
      <w:r w:rsidRPr="0049564E">
        <w:rPr>
          <w:rFonts w:ascii="Arial" w:hAnsi="Arial" w:cs="Arial"/>
          <w:b/>
          <w:bCs/>
          <w:sz w:val="24"/>
          <w:szCs w:val="24"/>
          <w:u w:val="single"/>
        </w:rPr>
        <w:t>HVOR MANGE PROSENT ER KNYTTET TIL CGN KINA?</w:t>
      </w:r>
    </w:p>
    <w:p w14:paraId="23EAD8D6" w14:textId="74FA891E" w:rsidR="005F3228" w:rsidRPr="005F3228" w:rsidRDefault="005F3228" w:rsidP="005F3228">
      <w:pPr>
        <w:rPr>
          <w:rFonts w:ascii="Arial" w:hAnsi="Arial" w:cs="Arial"/>
          <w:b/>
          <w:bCs/>
          <w:sz w:val="24"/>
          <w:szCs w:val="24"/>
        </w:rPr>
      </w:pPr>
      <w:r w:rsidRPr="005F3228">
        <w:rPr>
          <w:rFonts w:ascii="Arial" w:hAnsi="Arial" w:cs="Arial"/>
          <w:b/>
          <w:bCs/>
          <w:sz w:val="24"/>
          <w:szCs w:val="24"/>
        </w:rPr>
        <w:t>CGN Kina har kontroll over totalt 390 vindturbiner i Sverige, som er fordelt på seks forskjellige selskaper. Hvis vi skulle utelate disse fra datasettet, ville omtrent 10% av tapene bli utelatt. Resultatene ville derfor stå fast selv om de ble fjernet fra vurderingen. Det kan imidlertid være noe merkelig å utelate en rekke selskaper bare fordi de tilfeldigvis inngikk visse avtaler. Spørsmålet er om lønnsomhetsproblemene i CGN skal betraktes som unntak eller som toppen av isfjellet.</w:t>
      </w:r>
    </w:p>
    <w:p w14:paraId="7A6E3ADB" w14:textId="038D4D68" w:rsidR="005F3228" w:rsidRPr="005F3228" w:rsidRDefault="005F3228" w:rsidP="005F3228">
      <w:pPr>
        <w:rPr>
          <w:rFonts w:ascii="Arial" w:hAnsi="Arial" w:cs="Arial"/>
          <w:b/>
          <w:bCs/>
          <w:sz w:val="24"/>
          <w:szCs w:val="24"/>
        </w:rPr>
      </w:pPr>
      <w:r w:rsidRPr="005F3228">
        <w:rPr>
          <w:rFonts w:ascii="Arial" w:hAnsi="Arial" w:cs="Arial"/>
          <w:b/>
          <w:bCs/>
          <w:sz w:val="24"/>
          <w:szCs w:val="24"/>
        </w:rPr>
        <w:t>Vi kan heller ikke se at tyske RWE har en så stor andel av vindkraften at det ville påvirke datasettet i betydelig grad.</w:t>
      </w:r>
    </w:p>
    <w:p w14:paraId="361D4E3A" w14:textId="77777777" w:rsidR="005F3228" w:rsidRDefault="005F3228" w:rsidP="005F3228"/>
    <w:p w14:paraId="4287D117" w14:textId="77777777" w:rsidR="0049564E" w:rsidRDefault="0049564E" w:rsidP="005F3228"/>
    <w:p w14:paraId="7607467A" w14:textId="1DDE197D" w:rsidR="0049564E" w:rsidRPr="0049564E" w:rsidRDefault="0049564E" w:rsidP="005F3228">
      <w:pPr>
        <w:rPr>
          <w:rFonts w:ascii="Arial" w:hAnsi="Arial" w:cs="Arial"/>
          <w:b/>
          <w:bCs/>
          <w:sz w:val="24"/>
          <w:szCs w:val="24"/>
          <w:u w:val="single"/>
        </w:rPr>
      </w:pPr>
      <w:r w:rsidRPr="0049564E">
        <w:rPr>
          <w:rFonts w:ascii="Arial" w:hAnsi="Arial" w:cs="Arial"/>
          <w:b/>
          <w:bCs/>
          <w:sz w:val="24"/>
          <w:szCs w:val="24"/>
          <w:u w:val="single"/>
        </w:rPr>
        <w:lastRenderedPageBreak/>
        <w:t>Ande forhold som påvirker resultatet.</w:t>
      </w:r>
    </w:p>
    <w:p w14:paraId="04A1C4E1" w14:textId="0D871530" w:rsidR="00BA1672" w:rsidRPr="0049564E" w:rsidRDefault="0049564E" w:rsidP="00BA1672">
      <w:pPr>
        <w:rPr>
          <w:rFonts w:ascii="Arial" w:hAnsi="Arial" w:cs="Arial"/>
          <w:b/>
          <w:bCs/>
          <w:sz w:val="24"/>
          <w:szCs w:val="24"/>
        </w:rPr>
      </w:pPr>
      <w:r w:rsidRPr="0049564E">
        <w:rPr>
          <w:rFonts w:ascii="Arial" w:hAnsi="Arial" w:cs="Arial"/>
          <w:b/>
          <w:bCs/>
          <w:sz w:val="24"/>
          <w:szCs w:val="24"/>
        </w:rPr>
        <w:t>Det er naturlig å stille spørsmål ved om resultatene for perioden 2017–2022 er representative, eller om de inneholder en rekke midlertidige faktorer. I gjennomsnitt utgjorde elsertifikater, det vil si midler bidratt av skattebetalere, 15-25% av omsetningen i årene 2017-2019. Uten disse ville resultatene ha vært betydelig dårligere. Russlands invasjon av Ukraina i 2022 ser også ut til å ha ført til høyere strømpriser, noe som har vært til fordel for vindkraftindustrien i Sør-Sverige.</w:t>
      </w:r>
    </w:p>
    <w:p w14:paraId="31263CAF" w14:textId="77777777" w:rsidR="00BA1672" w:rsidRDefault="00BA1672" w:rsidP="00BA1672"/>
    <w:p w14:paraId="22F2CACF" w14:textId="77777777" w:rsidR="00BA1672" w:rsidRPr="0049564E" w:rsidRDefault="00BA1672" w:rsidP="00BA1672">
      <w:pPr>
        <w:rPr>
          <w:rFonts w:ascii="Arial" w:hAnsi="Arial" w:cs="Arial"/>
          <w:b/>
          <w:bCs/>
          <w:sz w:val="24"/>
          <w:szCs w:val="24"/>
          <w:u w:val="single"/>
        </w:rPr>
      </w:pPr>
      <w:r w:rsidRPr="0049564E">
        <w:rPr>
          <w:rFonts w:ascii="Arial" w:hAnsi="Arial" w:cs="Arial"/>
          <w:b/>
          <w:bCs/>
          <w:sz w:val="24"/>
          <w:szCs w:val="24"/>
          <w:u w:val="single"/>
        </w:rPr>
        <w:t>AVSKRIVNINGER SKJER LINEÆRT OVER 25 ÅR</w:t>
      </w:r>
    </w:p>
    <w:p w14:paraId="25BEAD31" w14:textId="6F9C4A42" w:rsidR="0049564E" w:rsidRPr="0049564E" w:rsidRDefault="0049564E" w:rsidP="0049564E">
      <w:pPr>
        <w:rPr>
          <w:rFonts w:ascii="Arial" w:hAnsi="Arial" w:cs="Arial"/>
          <w:b/>
          <w:bCs/>
          <w:sz w:val="24"/>
          <w:szCs w:val="24"/>
        </w:rPr>
      </w:pPr>
      <w:r w:rsidRPr="0049564E">
        <w:rPr>
          <w:rFonts w:ascii="Arial" w:hAnsi="Arial" w:cs="Arial"/>
          <w:b/>
          <w:bCs/>
          <w:sz w:val="24"/>
          <w:szCs w:val="24"/>
        </w:rPr>
        <w:t>Det er mulig at vindkraftverkene i begynnelsen er belastet med store avskrivninger, og at de vil vise bedre resultater senere. Denne hypotesen har blitt fremmet flere ganger av bransjerepresentanter. Tomas Hallberg fra den svenske vindkraftforeningen uttalte i februar i år at en levetid på 30-35 år er gjeldende, og han uttrykte nylig at “hvis du avskriver kraftig, vil du ha veldig god lønnsomhet etterpå”.</w:t>
      </w:r>
    </w:p>
    <w:p w14:paraId="692ACA09" w14:textId="59D9AC54" w:rsidR="0049564E" w:rsidRPr="0049564E" w:rsidRDefault="0049564E" w:rsidP="0049564E">
      <w:pPr>
        <w:rPr>
          <w:rFonts w:ascii="Arial" w:hAnsi="Arial" w:cs="Arial"/>
          <w:b/>
          <w:bCs/>
          <w:sz w:val="24"/>
          <w:szCs w:val="24"/>
        </w:rPr>
      </w:pPr>
      <w:r w:rsidRPr="0049564E">
        <w:rPr>
          <w:rFonts w:ascii="Arial" w:hAnsi="Arial" w:cs="Arial"/>
          <w:b/>
          <w:bCs/>
          <w:sz w:val="24"/>
          <w:szCs w:val="24"/>
        </w:rPr>
        <w:t xml:space="preserve">Ifølge selskapenes årsrapporter skjer avskrivninger lineært over en periode på 25 år. Eksemplene nedenfor er hentet fra årsrapportene for 2022 fra </w:t>
      </w:r>
      <w:proofErr w:type="spellStart"/>
      <w:r w:rsidRPr="0049564E">
        <w:rPr>
          <w:rFonts w:ascii="Arial" w:hAnsi="Arial" w:cs="Arial"/>
          <w:b/>
          <w:bCs/>
          <w:sz w:val="24"/>
          <w:szCs w:val="24"/>
        </w:rPr>
        <w:t>Långmarken</w:t>
      </w:r>
      <w:proofErr w:type="spellEnd"/>
      <w:r w:rsidRPr="0049564E">
        <w:rPr>
          <w:rFonts w:ascii="Arial" w:hAnsi="Arial" w:cs="Arial"/>
          <w:b/>
          <w:bCs/>
          <w:sz w:val="24"/>
          <w:szCs w:val="24"/>
        </w:rPr>
        <w:t xml:space="preserve"> Vind AB og </w:t>
      </w:r>
      <w:proofErr w:type="spellStart"/>
      <w:r w:rsidRPr="0049564E">
        <w:rPr>
          <w:rFonts w:ascii="Arial" w:hAnsi="Arial" w:cs="Arial"/>
          <w:b/>
          <w:bCs/>
          <w:sz w:val="24"/>
          <w:szCs w:val="24"/>
        </w:rPr>
        <w:t>Zinkgruvan</w:t>
      </w:r>
      <w:proofErr w:type="spellEnd"/>
      <w:r w:rsidRPr="0049564E">
        <w:rPr>
          <w:rFonts w:ascii="Arial" w:hAnsi="Arial" w:cs="Arial"/>
          <w:b/>
          <w:bCs/>
          <w:sz w:val="24"/>
          <w:szCs w:val="24"/>
        </w:rPr>
        <w:t xml:space="preserve"> AB.</w:t>
      </w:r>
    </w:p>
    <w:p w14:paraId="7D7F7141" w14:textId="2995B70E" w:rsidR="0049564E" w:rsidRDefault="0049564E" w:rsidP="0049564E">
      <w:pPr>
        <w:rPr>
          <w:rFonts w:ascii="Arial" w:hAnsi="Arial" w:cs="Arial"/>
          <w:b/>
          <w:bCs/>
          <w:sz w:val="24"/>
          <w:szCs w:val="24"/>
        </w:rPr>
      </w:pPr>
      <w:r w:rsidRPr="0049564E">
        <w:rPr>
          <w:rFonts w:ascii="Arial" w:hAnsi="Arial" w:cs="Arial"/>
          <w:b/>
          <w:bCs/>
          <w:sz w:val="24"/>
          <w:szCs w:val="24"/>
        </w:rPr>
        <w:t xml:space="preserve">I et intervju med Affärsvärlden bekreftet også </w:t>
      </w:r>
      <w:proofErr w:type="spellStart"/>
      <w:r w:rsidRPr="0049564E">
        <w:rPr>
          <w:rFonts w:ascii="Arial" w:hAnsi="Arial" w:cs="Arial"/>
          <w:b/>
          <w:bCs/>
          <w:sz w:val="24"/>
          <w:szCs w:val="24"/>
        </w:rPr>
        <w:t>Witalisson</w:t>
      </w:r>
      <w:proofErr w:type="spellEnd"/>
      <w:r w:rsidRPr="0049564E">
        <w:rPr>
          <w:rFonts w:ascii="Arial" w:hAnsi="Arial" w:cs="Arial"/>
          <w:b/>
          <w:bCs/>
          <w:sz w:val="24"/>
          <w:szCs w:val="24"/>
        </w:rPr>
        <w:t xml:space="preserve"> at avskrivninger vanligvis skjer lineært over 25 år. Enkelt sagt innebærer lineær avskrivning at avskrivninger gjøres med samme beløp hvert år i den tiltenkte perioden. Vi finner derfor ingen indikasjoner på at det gjøres større avskrivninger i begynnelsen, eller at selskapene forventer en levetid på 30-35 år. Selv om det sikkert finnes noen unntak for de som søker, er 25 år standarden i bransjen.</w:t>
      </w:r>
    </w:p>
    <w:p w14:paraId="10BA67B8" w14:textId="77777777" w:rsidR="0042507F" w:rsidRPr="0049564E" w:rsidRDefault="0042507F" w:rsidP="0049564E">
      <w:pPr>
        <w:rPr>
          <w:rFonts w:ascii="Arial" w:hAnsi="Arial" w:cs="Arial"/>
          <w:b/>
          <w:bCs/>
          <w:sz w:val="24"/>
          <w:szCs w:val="24"/>
        </w:rPr>
      </w:pPr>
    </w:p>
    <w:p w14:paraId="53661F4E" w14:textId="500D3B9F" w:rsidR="00BA1672" w:rsidRDefault="00EC3403" w:rsidP="00BA1672">
      <w:r>
        <w:rPr>
          <w:noProof/>
        </w:rPr>
        <w:drawing>
          <wp:inline distT="0" distB="0" distL="0" distR="0" wp14:anchorId="7F9DA03A" wp14:editId="52C660DB">
            <wp:extent cx="5762625" cy="1562100"/>
            <wp:effectExtent l="0" t="0" r="9525" b="0"/>
            <wp:docPr id="1151017664"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1562100"/>
                    </a:xfrm>
                    <a:prstGeom prst="rect">
                      <a:avLst/>
                    </a:prstGeom>
                    <a:noFill/>
                  </pic:spPr>
                </pic:pic>
              </a:graphicData>
            </a:graphic>
          </wp:inline>
        </w:drawing>
      </w:r>
    </w:p>
    <w:p w14:paraId="01935799" w14:textId="5E370DB2" w:rsidR="00BA1672" w:rsidRDefault="00EC3403" w:rsidP="00BA1672">
      <w:r>
        <w:rPr>
          <w:noProof/>
        </w:rPr>
        <w:drawing>
          <wp:inline distT="0" distB="0" distL="0" distR="0" wp14:anchorId="64F96505" wp14:editId="578E7BD4">
            <wp:extent cx="5762625" cy="952500"/>
            <wp:effectExtent l="0" t="0" r="9525" b="0"/>
            <wp:docPr id="138996219"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952500"/>
                    </a:xfrm>
                    <a:prstGeom prst="rect">
                      <a:avLst/>
                    </a:prstGeom>
                    <a:noFill/>
                  </pic:spPr>
                </pic:pic>
              </a:graphicData>
            </a:graphic>
          </wp:inline>
        </w:drawing>
      </w:r>
    </w:p>
    <w:p w14:paraId="52D5C580" w14:textId="77777777" w:rsidR="00EC3403" w:rsidRDefault="00EC3403" w:rsidP="00BA1672"/>
    <w:p w14:paraId="6ABF7DDD" w14:textId="5B6C6959" w:rsidR="0042507F" w:rsidRPr="0042507F" w:rsidRDefault="0042507F" w:rsidP="0042507F">
      <w:pPr>
        <w:rPr>
          <w:rFonts w:ascii="Arial" w:hAnsi="Arial" w:cs="Arial"/>
          <w:b/>
          <w:bCs/>
          <w:sz w:val="24"/>
          <w:szCs w:val="24"/>
        </w:rPr>
      </w:pPr>
      <w:r w:rsidRPr="0042507F">
        <w:rPr>
          <w:rFonts w:ascii="Arial" w:hAnsi="Arial" w:cs="Arial"/>
          <w:b/>
          <w:bCs/>
          <w:sz w:val="24"/>
          <w:szCs w:val="24"/>
        </w:rPr>
        <w:lastRenderedPageBreak/>
        <w:t>Når vi vurderer lønnsomheten, har vi benyttet nøkkeltallet for overskudd etter finansposter. Dette skyldes at vindkraftverk krever betydelige kapitalinvesteringer, og det ville være misvisende å vurdere lønnsomheten uten å ta hensyn til rentekostnadene.</w:t>
      </w:r>
    </w:p>
    <w:p w14:paraId="0CD2F710" w14:textId="77777777" w:rsidR="0042507F" w:rsidRPr="0042507F" w:rsidRDefault="0042507F" w:rsidP="0042507F">
      <w:pPr>
        <w:rPr>
          <w:rFonts w:ascii="Arial" w:hAnsi="Arial" w:cs="Arial"/>
          <w:b/>
          <w:bCs/>
          <w:sz w:val="24"/>
          <w:szCs w:val="24"/>
        </w:rPr>
      </w:pPr>
      <w:r w:rsidRPr="0042507F">
        <w:rPr>
          <w:rFonts w:ascii="Arial" w:hAnsi="Arial" w:cs="Arial"/>
          <w:b/>
          <w:bCs/>
          <w:sz w:val="24"/>
          <w:szCs w:val="24"/>
        </w:rPr>
        <w:t>Våre analyser er basert på en gjennomgang av årsrapportene til vindkraftselskaper som ble etablert mellom 2010 og 2022. Totalt har vi undersøkt 167 selskaper. Alle dataene er hentet fra selskapenes årsrapporter og er derfor offentlig tilgjengelige dokumenter.</w:t>
      </w:r>
    </w:p>
    <w:p w14:paraId="0E06ED38" w14:textId="77777777" w:rsidR="00FB7D57" w:rsidRDefault="00FB7D57" w:rsidP="00EC3403"/>
    <w:p w14:paraId="0EBDFA2D" w14:textId="70057788" w:rsidR="00EC3403" w:rsidRPr="00FB7D57" w:rsidRDefault="00FB7D57" w:rsidP="00EC3403">
      <w:pPr>
        <w:rPr>
          <w:rFonts w:ascii="Arial" w:hAnsi="Arial" w:cs="Arial"/>
          <w:b/>
          <w:bCs/>
          <w:sz w:val="24"/>
          <w:szCs w:val="24"/>
          <w:u w:val="single"/>
        </w:rPr>
      </w:pPr>
      <w:r w:rsidRPr="00FB7D57">
        <w:rPr>
          <w:rFonts w:ascii="Arial" w:hAnsi="Arial" w:cs="Arial"/>
          <w:b/>
          <w:bCs/>
          <w:sz w:val="24"/>
          <w:szCs w:val="24"/>
          <w:u w:val="single"/>
        </w:rPr>
        <w:t>Kilde:</w:t>
      </w:r>
    </w:p>
    <w:p w14:paraId="2D4C26F9" w14:textId="6D00CABD" w:rsidR="00FB7D57" w:rsidRPr="00FB7D57" w:rsidRDefault="00FB7D57" w:rsidP="00FB7D57">
      <w:pPr>
        <w:pStyle w:val="Listeavsnitt"/>
        <w:numPr>
          <w:ilvl w:val="0"/>
          <w:numId w:val="1"/>
        </w:numPr>
        <w:rPr>
          <w:rFonts w:ascii="Arial" w:hAnsi="Arial" w:cs="Arial"/>
          <w:b/>
          <w:bCs/>
          <w:sz w:val="20"/>
          <w:szCs w:val="20"/>
        </w:rPr>
      </w:pPr>
      <w:r w:rsidRPr="00FB7D57">
        <w:rPr>
          <w:rFonts w:ascii="Arial" w:hAnsi="Arial" w:cs="Arial"/>
          <w:b/>
          <w:bCs/>
          <w:sz w:val="20"/>
          <w:szCs w:val="20"/>
        </w:rPr>
        <w:t>https://www.affarsvarlden.se/kronika/hur-stor-andel-av-vindkraften-gar-med-forlust</w:t>
      </w:r>
    </w:p>
    <w:sectPr w:rsidR="00FB7D57" w:rsidRPr="00FB7D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F9555A"/>
    <w:multiLevelType w:val="hybridMultilevel"/>
    <w:tmpl w:val="3D5EB8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48479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672"/>
    <w:rsid w:val="00053FEF"/>
    <w:rsid w:val="001778B1"/>
    <w:rsid w:val="00230A21"/>
    <w:rsid w:val="003D513C"/>
    <w:rsid w:val="0042507F"/>
    <w:rsid w:val="0049564E"/>
    <w:rsid w:val="005F3228"/>
    <w:rsid w:val="008732DA"/>
    <w:rsid w:val="0089479D"/>
    <w:rsid w:val="00B75546"/>
    <w:rsid w:val="00BA1672"/>
    <w:rsid w:val="00EC3403"/>
    <w:rsid w:val="00EC4D5A"/>
    <w:rsid w:val="00FB7D5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FDB3A"/>
  <w15:chartTrackingRefBased/>
  <w15:docId w15:val="{1B42C1F6-154B-41AE-9983-A351217BB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A16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A16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A167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A167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A167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A167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A167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A167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A1672"/>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167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BA167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BA1672"/>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BA1672"/>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BA1672"/>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BA1672"/>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BA1672"/>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BA1672"/>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BA1672"/>
    <w:rPr>
      <w:rFonts w:eastAsiaTheme="majorEastAsia" w:cstheme="majorBidi"/>
      <w:color w:val="272727" w:themeColor="text1" w:themeTint="D8"/>
    </w:rPr>
  </w:style>
  <w:style w:type="paragraph" w:styleId="Tittel">
    <w:name w:val="Title"/>
    <w:basedOn w:val="Normal"/>
    <w:next w:val="Normal"/>
    <w:link w:val="TittelTegn"/>
    <w:uiPriority w:val="10"/>
    <w:qFormat/>
    <w:rsid w:val="00BA16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A1672"/>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BA1672"/>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BA1672"/>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BA1672"/>
    <w:pPr>
      <w:spacing w:before="160"/>
      <w:jc w:val="center"/>
    </w:pPr>
    <w:rPr>
      <w:i/>
      <w:iCs/>
      <w:color w:val="404040" w:themeColor="text1" w:themeTint="BF"/>
    </w:rPr>
  </w:style>
  <w:style w:type="character" w:customStyle="1" w:styleId="SitatTegn">
    <w:name w:val="Sitat Tegn"/>
    <w:basedOn w:val="Standardskriftforavsnitt"/>
    <w:link w:val="Sitat"/>
    <w:uiPriority w:val="29"/>
    <w:rsid w:val="00BA1672"/>
    <w:rPr>
      <w:i/>
      <w:iCs/>
      <w:color w:val="404040" w:themeColor="text1" w:themeTint="BF"/>
    </w:rPr>
  </w:style>
  <w:style w:type="paragraph" w:styleId="Listeavsnitt">
    <w:name w:val="List Paragraph"/>
    <w:basedOn w:val="Normal"/>
    <w:uiPriority w:val="34"/>
    <w:qFormat/>
    <w:rsid w:val="00BA1672"/>
    <w:pPr>
      <w:ind w:left="720"/>
      <w:contextualSpacing/>
    </w:pPr>
  </w:style>
  <w:style w:type="character" w:styleId="Sterkutheving">
    <w:name w:val="Intense Emphasis"/>
    <w:basedOn w:val="Standardskriftforavsnitt"/>
    <w:uiPriority w:val="21"/>
    <w:qFormat/>
    <w:rsid w:val="00BA1672"/>
    <w:rPr>
      <w:i/>
      <w:iCs/>
      <w:color w:val="0F4761" w:themeColor="accent1" w:themeShade="BF"/>
    </w:rPr>
  </w:style>
  <w:style w:type="paragraph" w:styleId="Sterktsitat">
    <w:name w:val="Intense Quote"/>
    <w:basedOn w:val="Normal"/>
    <w:next w:val="Normal"/>
    <w:link w:val="SterktsitatTegn"/>
    <w:uiPriority w:val="30"/>
    <w:qFormat/>
    <w:rsid w:val="00BA16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BA1672"/>
    <w:rPr>
      <w:i/>
      <w:iCs/>
      <w:color w:val="0F4761" w:themeColor="accent1" w:themeShade="BF"/>
    </w:rPr>
  </w:style>
  <w:style w:type="character" w:styleId="Sterkreferanse">
    <w:name w:val="Intense Reference"/>
    <w:basedOn w:val="Standardskriftforavsnitt"/>
    <w:uiPriority w:val="32"/>
    <w:qFormat/>
    <w:rsid w:val="00BA16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5</Pages>
  <Words>1028</Words>
  <Characters>5452</Characters>
  <Application>Microsoft Office Word</Application>
  <DocSecurity>0</DocSecurity>
  <Lines>45</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Espen Andre Røinaas</dc:creator>
  <cp:keywords/>
  <dc:description/>
  <cp:lastModifiedBy>Espen Andre Røinaas</cp:lastModifiedBy>
  <cp:revision>9</cp:revision>
  <dcterms:created xsi:type="dcterms:W3CDTF">2024-05-27T09:39:00Z</dcterms:created>
  <dcterms:modified xsi:type="dcterms:W3CDTF">2024-05-27T18:00:00Z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3ecc0f-ccb9-4361-8333-eab9c279fcaa_Enabled">
    <vt:lpwstr>true</vt:lpwstr>
  </property>
  <property fmtid="{D5CDD505-2E9C-101B-9397-08002B2CF9AE}" pid="3" name="MSIP_Label_593ecc0f-ccb9-4361-8333-eab9c279fcaa_SetDate">
    <vt:lpwstr>2024-05-27T11:25:17Z</vt:lpwstr>
  </property>
  <property fmtid="{D5CDD505-2E9C-101B-9397-08002B2CF9AE}" pid="4" name="MSIP_Label_593ecc0f-ccb9-4361-8333-eab9c279fcaa_Method">
    <vt:lpwstr>Standard</vt:lpwstr>
  </property>
  <property fmtid="{D5CDD505-2E9C-101B-9397-08002B2CF9AE}" pid="5" name="MSIP_Label_593ecc0f-ccb9-4361-8333-eab9c279fcaa_Name">
    <vt:lpwstr>Intern</vt:lpwstr>
  </property>
  <property fmtid="{D5CDD505-2E9C-101B-9397-08002B2CF9AE}" pid="6" name="MSIP_Label_593ecc0f-ccb9-4361-8333-eab9c279fcaa_SiteId">
    <vt:lpwstr>07ba06ff-14f4-464b-b7e8-bc3a7e21e203</vt:lpwstr>
  </property>
  <property fmtid="{D5CDD505-2E9C-101B-9397-08002B2CF9AE}" pid="7" name="MSIP_Label_593ecc0f-ccb9-4361-8333-eab9c279fcaa_ActionId">
    <vt:lpwstr>e84fcf9f-7f86-4d33-a7ff-beef7bed0b3b</vt:lpwstr>
  </property>
  <property fmtid="{D5CDD505-2E9C-101B-9397-08002B2CF9AE}" pid="8" name="MSIP_Label_593ecc0f-ccb9-4361-8333-eab9c279fcaa_ContentBits">
    <vt:lpwstr>0</vt:lpwstr>
  </property>
</Properties>
</file>