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F062" w14:textId="35D36675" w:rsidR="00EA6891" w:rsidRPr="00EA6891" w:rsidRDefault="00EA6891" w:rsidP="00EA6891">
      <w:pPr>
        <w:rPr>
          <w:rFonts w:ascii="Arial" w:hAnsi="Arial" w:cs="Arial"/>
          <w:b/>
          <w:bCs/>
          <w:sz w:val="40"/>
          <w:szCs w:val="40"/>
          <w:u w:val="single"/>
          <w:lang w:eastAsia="nb-NO"/>
        </w:rPr>
      </w:pPr>
      <w:r w:rsidRPr="00EA6891">
        <w:rPr>
          <w:rFonts w:ascii="Arial" w:hAnsi="Arial" w:cs="Arial"/>
          <w:b/>
          <w:bCs/>
          <w:sz w:val="40"/>
          <w:szCs w:val="40"/>
          <w:u w:val="single"/>
          <w:lang w:eastAsia="nb-NO"/>
        </w:rPr>
        <w:t>Fossil</w:t>
      </w:r>
      <w:r w:rsidRPr="00EA6891">
        <w:rPr>
          <w:rFonts w:ascii="Arial" w:hAnsi="Arial" w:cs="Arial"/>
          <w:b/>
          <w:bCs/>
          <w:sz w:val="40"/>
          <w:szCs w:val="40"/>
          <w:u w:val="single"/>
        </w:rPr>
        <w:t xml:space="preserve"> </w:t>
      </w:r>
      <w:r w:rsidRPr="00EA6891">
        <w:rPr>
          <w:rFonts w:ascii="Arial" w:hAnsi="Arial" w:cs="Arial"/>
          <w:b/>
          <w:bCs/>
          <w:sz w:val="40"/>
          <w:szCs w:val="40"/>
          <w:u w:val="single"/>
          <w:lang w:eastAsia="nb-NO"/>
        </w:rPr>
        <w:t>energibruk</w:t>
      </w:r>
      <w:r w:rsidRPr="00EA6891">
        <w:rPr>
          <w:rFonts w:ascii="Arial" w:hAnsi="Arial" w:cs="Arial"/>
          <w:b/>
          <w:bCs/>
          <w:sz w:val="40"/>
          <w:szCs w:val="40"/>
          <w:u w:val="single"/>
        </w:rPr>
        <w:t xml:space="preserve"> </w:t>
      </w:r>
      <w:r w:rsidRPr="00EA6891">
        <w:rPr>
          <w:rFonts w:ascii="Arial" w:hAnsi="Arial" w:cs="Arial"/>
          <w:b/>
          <w:bCs/>
          <w:sz w:val="40"/>
          <w:szCs w:val="40"/>
          <w:u w:val="single"/>
          <w:lang w:eastAsia="nb-NO"/>
        </w:rPr>
        <w:t>og andel øker</w:t>
      </w:r>
    </w:p>
    <w:p w14:paraId="47BE46CE" w14:textId="37A74B9B" w:rsidR="00EA6891" w:rsidRDefault="00E002F9" w:rsidP="00EA6891">
      <w:pPr>
        <w:rPr>
          <w:rFonts w:ascii="Arial" w:hAnsi="Arial" w:cs="Arial"/>
          <w:b/>
          <w:bCs/>
          <w:sz w:val="20"/>
          <w:szCs w:val="20"/>
        </w:rPr>
      </w:pPr>
      <w:r w:rsidRPr="00E002F9">
        <w:rPr>
          <w:rFonts w:ascii="Arial" w:hAnsi="Arial" w:cs="Arial"/>
          <w:b/>
          <w:bCs/>
          <w:sz w:val="20"/>
          <w:szCs w:val="20"/>
        </w:rPr>
        <w:t>Av Einar H. Årstad, sivilingeniør elektro/teknisk kybernetikk Publisert 13. september 2025 – Klimarealistene</w:t>
      </w:r>
    </w:p>
    <w:p w14:paraId="34A731CA" w14:textId="77777777" w:rsidR="00E002F9" w:rsidRDefault="00E002F9" w:rsidP="00EA6891">
      <w:pPr>
        <w:rPr>
          <w:rFonts w:ascii="Arial" w:hAnsi="Arial" w:cs="Arial"/>
          <w:b/>
          <w:bCs/>
          <w:sz w:val="20"/>
          <w:szCs w:val="20"/>
        </w:rPr>
      </w:pPr>
    </w:p>
    <w:tbl>
      <w:tblPr>
        <w:tblStyle w:val="Tabellrutenett"/>
        <w:tblW w:w="10632" w:type="dxa"/>
        <w:tblInd w:w="-714" w:type="dxa"/>
        <w:tblLook w:val="04A0" w:firstRow="1" w:lastRow="0" w:firstColumn="1" w:lastColumn="0" w:noHBand="0" w:noVBand="1"/>
      </w:tblPr>
      <w:tblGrid>
        <w:gridCol w:w="2202"/>
        <w:gridCol w:w="8430"/>
      </w:tblGrid>
      <w:tr w:rsidR="00B747CD" w14:paraId="03E01997" w14:textId="77777777" w:rsidTr="00B747CD">
        <w:trPr>
          <w:trHeight w:val="3285"/>
        </w:trPr>
        <w:tc>
          <w:tcPr>
            <w:tcW w:w="1621" w:type="dxa"/>
          </w:tcPr>
          <w:p w14:paraId="540CA2AC" w14:textId="77777777" w:rsidR="00E002F9" w:rsidRDefault="00B747CD" w:rsidP="00EA6891">
            <w:pPr>
              <w:rPr>
                <w:rFonts w:ascii="Arial" w:hAnsi="Arial" w:cs="Arial"/>
                <w:b/>
                <w:bCs/>
                <w:sz w:val="20"/>
                <w:szCs w:val="20"/>
              </w:rPr>
            </w:pPr>
            <w:r>
              <w:rPr>
                <w:rFonts w:ascii="Arial" w:hAnsi="Arial" w:cs="Arial"/>
                <w:b/>
                <w:bCs/>
                <w:noProof/>
                <w:sz w:val="20"/>
                <w:szCs w:val="20"/>
              </w:rPr>
              <w:drawing>
                <wp:inline distT="0" distB="0" distL="0" distR="0" wp14:anchorId="1A62680E" wp14:editId="24CAF496">
                  <wp:extent cx="1261128" cy="1485900"/>
                  <wp:effectExtent l="0" t="0" r="0" b="0"/>
                  <wp:docPr id="209570949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919" r="16426"/>
                          <a:stretch>
                            <a:fillRect/>
                          </a:stretch>
                        </pic:blipFill>
                        <pic:spPr bwMode="auto">
                          <a:xfrm>
                            <a:off x="0" y="0"/>
                            <a:ext cx="1323093" cy="1558909"/>
                          </a:xfrm>
                          <a:prstGeom prst="rect">
                            <a:avLst/>
                          </a:prstGeom>
                          <a:noFill/>
                          <a:ln>
                            <a:noFill/>
                          </a:ln>
                          <a:extLst>
                            <a:ext uri="{53640926-AAD7-44D8-BBD7-CCE9431645EC}">
                              <a14:shadowObscured xmlns:a14="http://schemas.microsoft.com/office/drawing/2010/main"/>
                            </a:ext>
                          </a:extLst>
                        </pic:spPr>
                      </pic:pic>
                    </a:graphicData>
                  </a:graphic>
                </wp:inline>
              </w:drawing>
            </w:r>
          </w:p>
          <w:p w14:paraId="0F9AACFB" w14:textId="3CA50AEE" w:rsidR="00B747CD" w:rsidRDefault="00B747CD" w:rsidP="00B747CD">
            <w:pPr>
              <w:pStyle w:val="NormalWeb"/>
            </w:pPr>
          </w:p>
          <w:p w14:paraId="0F377FE0" w14:textId="0C97EC6B" w:rsidR="00B747CD" w:rsidRDefault="00B747CD" w:rsidP="00EA6891">
            <w:pPr>
              <w:rPr>
                <w:rFonts w:ascii="Arial" w:hAnsi="Arial" w:cs="Arial"/>
                <w:b/>
                <w:bCs/>
                <w:sz w:val="20"/>
                <w:szCs w:val="20"/>
              </w:rPr>
            </w:pPr>
          </w:p>
        </w:tc>
        <w:tc>
          <w:tcPr>
            <w:tcW w:w="9011" w:type="dxa"/>
          </w:tcPr>
          <w:p w14:paraId="1CA06949" w14:textId="1BD8E86B" w:rsidR="00E002F9" w:rsidRPr="00B747CD" w:rsidRDefault="00E002F9" w:rsidP="00E002F9">
            <w:pPr>
              <w:rPr>
                <w:rFonts w:ascii="Arial" w:hAnsi="Arial" w:cs="Arial"/>
                <w:b/>
                <w:bCs/>
                <w:color w:val="0070C0"/>
                <w:sz w:val="20"/>
                <w:szCs w:val="20"/>
              </w:rPr>
            </w:pPr>
            <w:r w:rsidRPr="00B747CD">
              <w:rPr>
                <w:rFonts w:ascii="Arial" w:hAnsi="Arial" w:cs="Arial"/>
                <w:b/>
                <w:bCs/>
                <w:color w:val="0070C0"/>
                <w:sz w:val="20"/>
                <w:szCs w:val="20"/>
              </w:rPr>
              <w:t xml:space="preserve">Einar H. Årstad er utdannet sivilingeniør i elektro og teknisk kybernetikk fra NTNU (1985), og har gjennom flere tiår opparbeidet seg bred og tung erfaring fra norsk industri. Han har hatt sentrale roller i selskaper som </w:t>
            </w:r>
            <w:proofErr w:type="spellStart"/>
            <w:r w:rsidRPr="00B747CD">
              <w:rPr>
                <w:rFonts w:ascii="Arial" w:hAnsi="Arial" w:cs="Arial"/>
                <w:b/>
                <w:bCs/>
                <w:color w:val="0070C0"/>
                <w:sz w:val="20"/>
                <w:szCs w:val="20"/>
              </w:rPr>
              <w:t>Equinor</w:t>
            </w:r>
            <w:proofErr w:type="spellEnd"/>
            <w:r w:rsidRPr="00B747CD">
              <w:rPr>
                <w:rFonts w:ascii="Arial" w:hAnsi="Arial" w:cs="Arial"/>
                <w:b/>
                <w:bCs/>
                <w:color w:val="0070C0"/>
                <w:sz w:val="20"/>
                <w:szCs w:val="20"/>
              </w:rPr>
              <w:t xml:space="preserve">, </w:t>
            </w:r>
            <w:proofErr w:type="spellStart"/>
            <w:r w:rsidRPr="00B747CD">
              <w:rPr>
                <w:rFonts w:ascii="Arial" w:hAnsi="Arial" w:cs="Arial"/>
                <w:b/>
                <w:bCs/>
                <w:color w:val="0070C0"/>
                <w:sz w:val="20"/>
                <w:szCs w:val="20"/>
              </w:rPr>
              <w:t>Aibel</w:t>
            </w:r>
            <w:proofErr w:type="spellEnd"/>
            <w:r w:rsidRPr="00B747CD">
              <w:rPr>
                <w:rFonts w:ascii="Arial" w:hAnsi="Arial" w:cs="Arial"/>
                <w:b/>
                <w:bCs/>
                <w:color w:val="0070C0"/>
                <w:sz w:val="20"/>
                <w:szCs w:val="20"/>
              </w:rPr>
              <w:t>, Kongsberggruppen og Sintef, hvor han har arbeidet med alt fra energisystemer og automatisering til teknologisk utvikling og prosjektledelse. Denne bakgrunnen har gitt ham inngående innsikt i både energiproduksjon, industriell effektivitet og teknologiske løsninger på komplekse samfunnsutfordringer.</w:t>
            </w:r>
          </w:p>
          <w:p w14:paraId="5F315D96" w14:textId="7466E4AE" w:rsidR="00E002F9" w:rsidRPr="00B747CD" w:rsidRDefault="00E002F9" w:rsidP="00E002F9">
            <w:pPr>
              <w:rPr>
                <w:rFonts w:ascii="Arial" w:hAnsi="Arial" w:cs="Arial"/>
                <w:b/>
                <w:bCs/>
                <w:color w:val="0070C0"/>
                <w:sz w:val="20"/>
                <w:szCs w:val="20"/>
              </w:rPr>
            </w:pPr>
            <w:r w:rsidRPr="00B747CD">
              <w:rPr>
                <w:rFonts w:ascii="Arial" w:hAnsi="Arial" w:cs="Arial"/>
                <w:b/>
                <w:bCs/>
                <w:color w:val="0070C0"/>
                <w:sz w:val="20"/>
                <w:szCs w:val="20"/>
              </w:rPr>
              <w:t>I tillegg til sin tekniske karriere har Årstad markert seg som en tydelig stemme i den offentlige energidebatten. Han har holdt en rekke foredrag for politiske partier, bedrifter, fagforeninger og akademiske miljøer, der han presenterer historiske trender og nåværende status for verdens energimiks, befolkningsvekst, CO</w:t>
            </w:r>
            <w:r w:rsidRPr="00B747CD">
              <w:rPr>
                <w:rFonts w:ascii="Cambria Math" w:hAnsi="Cambria Math" w:cs="Cambria Math"/>
                <w:b/>
                <w:bCs/>
                <w:color w:val="0070C0"/>
                <w:sz w:val="20"/>
                <w:szCs w:val="20"/>
              </w:rPr>
              <w:t>₂</w:t>
            </w:r>
            <w:r w:rsidRPr="00B747CD">
              <w:rPr>
                <w:rFonts w:ascii="Arial" w:hAnsi="Arial" w:cs="Arial"/>
                <w:b/>
                <w:bCs/>
                <w:color w:val="0070C0"/>
                <w:sz w:val="20"/>
                <w:szCs w:val="20"/>
              </w:rPr>
              <w:t>-utslipp og Norges klimaforpliktelser. Han er tilknyttet organisasjonen Klimarealistene, som arbeider for en mer faktabasert og teknologisk realistisk tilnærming til klima- og energipolitikk.</w:t>
            </w:r>
          </w:p>
        </w:tc>
      </w:tr>
    </w:tbl>
    <w:p w14:paraId="35E03779" w14:textId="77777777" w:rsidR="00E002F9" w:rsidRPr="00E002F9" w:rsidRDefault="00E002F9" w:rsidP="00EA6891">
      <w:pPr>
        <w:rPr>
          <w:rFonts w:ascii="Arial" w:hAnsi="Arial" w:cs="Arial"/>
          <w:b/>
          <w:bCs/>
          <w:sz w:val="20"/>
          <w:szCs w:val="20"/>
        </w:rPr>
      </w:pPr>
    </w:p>
    <w:p w14:paraId="01DE3055" w14:textId="5FDEF837" w:rsidR="00EA6891" w:rsidRPr="00EA6891" w:rsidRDefault="00EA6891" w:rsidP="00EA6891">
      <w:pPr>
        <w:rPr>
          <w:rFonts w:ascii="Arial" w:hAnsi="Arial" w:cs="Arial"/>
          <w:b/>
          <w:bCs/>
          <w:lang w:eastAsia="nb-NO"/>
        </w:rPr>
      </w:pPr>
      <w:r w:rsidRPr="00EA6891">
        <w:rPr>
          <w:rFonts w:ascii="Arial" w:hAnsi="Arial" w:cs="Arial"/>
          <w:b/>
          <w:bCs/>
        </w:rPr>
        <w:drawing>
          <wp:inline distT="0" distB="0" distL="0" distR="0" wp14:anchorId="3E038FEA" wp14:editId="3A866147">
            <wp:extent cx="5732686" cy="3009900"/>
            <wp:effectExtent l="0" t="0" r="1905" b="0"/>
            <wp:docPr id="122943367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6740" cy="3033030"/>
                    </a:xfrm>
                    <a:prstGeom prst="rect">
                      <a:avLst/>
                    </a:prstGeom>
                    <a:noFill/>
                  </pic:spPr>
                </pic:pic>
              </a:graphicData>
            </a:graphic>
          </wp:inline>
        </w:drawing>
      </w:r>
    </w:p>
    <w:p w14:paraId="5C57F7A2" w14:textId="77777777" w:rsidR="00EA6891" w:rsidRPr="00EA6891" w:rsidRDefault="00EA6891" w:rsidP="00EA6891">
      <w:pPr>
        <w:rPr>
          <w:rFonts w:ascii="Arial" w:hAnsi="Arial" w:cs="Arial"/>
          <w:b/>
          <w:bCs/>
        </w:rPr>
      </w:pPr>
      <w:r w:rsidRPr="00EA6891">
        <w:rPr>
          <w:rFonts w:ascii="Arial" w:hAnsi="Arial" w:cs="Arial"/>
          <w:b/>
          <w:bCs/>
          <w:lang w:eastAsia="nb-NO"/>
        </w:rPr>
        <w:t xml:space="preserve">Olje gass og kull øker til 87 prosent. Sol og vind er ubetydelig i økning og i totalt. Figur av </w:t>
      </w:r>
      <w:proofErr w:type="spellStart"/>
      <w:r w:rsidRPr="00EA6891">
        <w:rPr>
          <w:rFonts w:ascii="Arial" w:hAnsi="Arial" w:cs="Arial"/>
          <w:b/>
          <w:bCs/>
          <w:lang w:eastAsia="nb-NO"/>
        </w:rPr>
        <w:t>Rögnvaldur</w:t>
      </w:r>
      <w:proofErr w:type="spellEnd"/>
      <w:r w:rsidRPr="00EA6891">
        <w:rPr>
          <w:rFonts w:ascii="Arial" w:hAnsi="Arial" w:cs="Arial"/>
          <w:b/>
          <w:bCs/>
          <w:lang w:eastAsia="nb-NO"/>
        </w:rPr>
        <w:t xml:space="preserve"> </w:t>
      </w:r>
      <w:proofErr w:type="spellStart"/>
      <w:r w:rsidRPr="00EA6891">
        <w:rPr>
          <w:rFonts w:ascii="Arial" w:hAnsi="Arial" w:cs="Arial"/>
          <w:b/>
          <w:bCs/>
          <w:lang w:eastAsia="nb-NO"/>
        </w:rPr>
        <w:t>Hannesson</w:t>
      </w:r>
      <w:proofErr w:type="spellEnd"/>
      <w:r w:rsidRPr="00EA6891">
        <w:rPr>
          <w:rFonts w:ascii="Arial" w:hAnsi="Arial" w:cs="Arial"/>
          <w:b/>
          <w:bCs/>
          <w:lang w:eastAsia="nb-NO"/>
        </w:rPr>
        <w:t>.</w:t>
      </w:r>
    </w:p>
    <w:p w14:paraId="6DE9540D" w14:textId="77777777" w:rsidR="00EA6891" w:rsidRPr="00EA6891" w:rsidRDefault="00EA6891" w:rsidP="00EA6891">
      <w:pPr>
        <w:rPr>
          <w:rFonts w:ascii="Arial" w:hAnsi="Arial" w:cs="Arial"/>
          <w:b/>
          <w:bCs/>
        </w:rPr>
      </w:pPr>
    </w:p>
    <w:p w14:paraId="4BCE9FFD" w14:textId="5F6201A6" w:rsidR="00EA6891" w:rsidRPr="00EA6891" w:rsidRDefault="00EA6891" w:rsidP="00EA6891">
      <w:pPr>
        <w:rPr>
          <w:rFonts w:ascii="Arial" w:hAnsi="Arial" w:cs="Arial"/>
          <w:b/>
          <w:bCs/>
          <w:sz w:val="28"/>
          <w:szCs w:val="28"/>
          <w:u w:val="single"/>
        </w:rPr>
      </w:pPr>
      <w:r w:rsidRPr="00EA6891">
        <w:rPr>
          <w:rFonts w:ascii="Arial" w:hAnsi="Arial" w:cs="Arial"/>
          <w:b/>
          <w:bCs/>
          <w:sz w:val="28"/>
          <w:szCs w:val="28"/>
          <w:u w:val="single"/>
          <w:lang w:eastAsia="nb-NO"/>
        </w:rPr>
        <w:t>Det pågår en energiaddisjon, ikke en energitransisjon</w:t>
      </w:r>
    </w:p>
    <w:p w14:paraId="6174B8D1" w14:textId="77777777" w:rsidR="00EA6891" w:rsidRPr="00EA6891" w:rsidRDefault="00EA6891" w:rsidP="00EA6891">
      <w:pPr>
        <w:rPr>
          <w:rFonts w:ascii="Arial" w:hAnsi="Arial" w:cs="Arial"/>
          <w:b/>
          <w:bCs/>
          <w:lang w:eastAsia="nb-NO"/>
        </w:rPr>
      </w:pPr>
      <w:r w:rsidRPr="00EA6891">
        <w:rPr>
          <w:rFonts w:ascii="Arial" w:hAnsi="Arial" w:cs="Arial"/>
          <w:b/>
          <w:bCs/>
          <w:lang w:eastAsia="nb-NO"/>
        </w:rPr>
        <w:t>Politikerne burde bruke sommeren på å lese verdens mest respekterte energirapport — og møte høstens valgkampdebatt med fakta, ikke illusjoner.</w:t>
      </w:r>
    </w:p>
    <w:p w14:paraId="55E30DE1" w14:textId="77777777" w:rsidR="00EA6891" w:rsidRPr="00EA6891" w:rsidRDefault="00EA6891" w:rsidP="00EA6891">
      <w:pPr>
        <w:rPr>
          <w:rFonts w:ascii="Arial" w:hAnsi="Arial" w:cs="Arial"/>
          <w:b/>
          <w:bCs/>
          <w:lang w:eastAsia="nb-NO"/>
        </w:rPr>
      </w:pPr>
      <w:r w:rsidRPr="00EA6891">
        <w:rPr>
          <w:rFonts w:ascii="Arial" w:hAnsi="Arial" w:cs="Arial"/>
          <w:b/>
          <w:bCs/>
          <w:lang w:eastAsia="nb-NO"/>
        </w:rPr>
        <w:lastRenderedPageBreak/>
        <w:drawing>
          <wp:inline distT="0" distB="0" distL="0" distR="0" wp14:anchorId="157B9030" wp14:editId="1DAA4F8C">
            <wp:extent cx="5400674" cy="3886200"/>
            <wp:effectExtent l="0" t="0" r="0" b="0"/>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3439" cy="3902581"/>
                    </a:xfrm>
                    <a:prstGeom prst="rect">
                      <a:avLst/>
                    </a:prstGeom>
                    <a:noFill/>
                    <a:ln>
                      <a:noFill/>
                    </a:ln>
                  </pic:spPr>
                </pic:pic>
              </a:graphicData>
            </a:graphic>
          </wp:inline>
        </w:drawing>
      </w:r>
    </w:p>
    <w:p w14:paraId="0298566C" w14:textId="77777777" w:rsidR="00EA6891" w:rsidRPr="00EA6891" w:rsidRDefault="00EA6891" w:rsidP="00EA6891">
      <w:pPr>
        <w:rPr>
          <w:rFonts w:ascii="Arial" w:hAnsi="Arial" w:cs="Arial"/>
          <w:b/>
          <w:bCs/>
          <w:lang w:eastAsia="nb-NO"/>
        </w:rPr>
      </w:pPr>
      <w:r w:rsidRPr="00EA6891">
        <w:rPr>
          <w:rFonts w:ascii="Arial" w:hAnsi="Arial" w:cs="Arial"/>
          <w:b/>
          <w:bCs/>
          <w:lang w:eastAsia="nb-NO"/>
        </w:rPr>
        <w:t>26. juni ble årets utgave av verdens mest anerkjente energirapport – </w:t>
      </w:r>
      <w:hyperlink r:id="rId8" w:tgtFrame="_blank" w:history="1">
        <w:r w:rsidRPr="00EA6891">
          <w:rPr>
            <w:rStyle w:val="Hyperkobling"/>
            <w:rFonts w:ascii="Arial" w:hAnsi="Arial" w:cs="Arial"/>
            <w:b/>
            <w:bCs/>
            <w:color w:val="auto"/>
            <w:u w:val="none"/>
            <w:lang w:eastAsia="nb-NO"/>
          </w:rPr>
          <w:t xml:space="preserve">The Statistical </w:t>
        </w:r>
        <w:proofErr w:type="spellStart"/>
        <w:r w:rsidRPr="00EA6891">
          <w:rPr>
            <w:rStyle w:val="Hyperkobling"/>
            <w:rFonts w:ascii="Arial" w:hAnsi="Arial" w:cs="Arial"/>
            <w:b/>
            <w:bCs/>
            <w:color w:val="auto"/>
            <w:u w:val="none"/>
            <w:lang w:eastAsia="nb-NO"/>
          </w:rPr>
          <w:t>Review</w:t>
        </w:r>
        <w:proofErr w:type="spellEnd"/>
        <w:r w:rsidRPr="00EA6891">
          <w:rPr>
            <w:rStyle w:val="Hyperkobling"/>
            <w:rFonts w:ascii="Arial" w:hAnsi="Arial" w:cs="Arial"/>
            <w:b/>
            <w:bCs/>
            <w:color w:val="auto"/>
            <w:u w:val="none"/>
            <w:lang w:eastAsia="nb-NO"/>
          </w:rPr>
          <w:t xml:space="preserve"> </w:t>
        </w:r>
        <w:proofErr w:type="spellStart"/>
        <w:r w:rsidRPr="00EA6891">
          <w:rPr>
            <w:rStyle w:val="Hyperkobling"/>
            <w:rFonts w:ascii="Arial" w:hAnsi="Arial" w:cs="Arial"/>
            <w:b/>
            <w:bCs/>
            <w:color w:val="auto"/>
            <w:u w:val="none"/>
            <w:lang w:eastAsia="nb-NO"/>
          </w:rPr>
          <w:t>of</w:t>
        </w:r>
        <w:proofErr w:type="spellEnd"/>
        <w:r w:rsidRPr="00EA6891">
          <w:rPr>
            <w:rStyle w:val="Hyperkobling"/>
            <w:rFonts w:ascii="Arial" w:hAnsi="Arial" w:cs="Arial"/>
            <w:b/>
            <w:bCs/>
            <w:color w:val="auto"/>
            <w:u w:val="none"/>
            <w:lang w:eastAsia="nb-NO"/>
          </w:rPr>
          <w:t xml:space="preserve"> World Energy </w:t>
        </w:r>
      </w:hyperlink>
      <w:r w:rsidRPr="00EA6891">
        <w:rPr>
          <w:rFonts w:ascii="Arial" w:hAnsi="Arial" w:cs="Arial"/>
          <w:b/>
          <w:bCs/>
          <w:lang w:eastAsia="nb-NO"/>
        </w:rPr>
        <w:t>– publisert. Rapporten ble opprinnelig utgitt av BP fra 1952 til 2022 og har i over 70 år vært en uunnværlig kilde for beslutningstakere, analytikere og institusjoner som IEA, IMF og Verdensbanken. </w:t>
      </w:r>
    </w:p>
    <w:p w14:paraId="29380D01" w14:textId="77777777" w:rsidR="00EA6891" w:rsidRPr="00EA6891" w:rsidRDefault="00EA6891" w:rsidP="00EA6891">
      <w:pPr>
        <w:rPr>
          <w:rFonts w:ascii="Arial" w:hAnsi="Arial" w:cs="Arial"/>
          <w:b/>
          <w:bCs/>
          <w:lang w:eastAsia="nb-NO"/>
        </w:rPr>
      </w:pPr>
      <w:r w:rsidRPr="00EA6891">
        <w:rPr>
          <w:rFonts w:ascii="Arial" w:hAnsi="Arial" w:cs="Arial"/>
          <w:b/>
          <w:bCs/>
          <w:lang w:eastAsia="nb-NO"/>
        </w:rPr>
        <w:t>I 2023 ble ansvaret for rapporten overtatt av </w:t>
      </w:r>
      <w:hyperlink r:id="rId9" w:tgtFrame="_blank" w:history="1">
        <w:r w:rsidRPr="00EA6891">
          <w:rPr>
            <w:rStyle w:val="Hyperkobling"/>
            <w:rFonts w:ascii="Arial" w:hAnsi="Arial" w:cs="Arial"/>
            <w:b/>
            <w:bCs/>
            <w:color w:val="auto"/>
            <w:u w:val="none"/>
            <w:lang w:eastAsia="nb-NO"/>
          </w:rPr>
          <w:t xml:space="preserve">Energy </w:t>
        </w:r>
        <w:proofErr w:type="spellStart"/>
        <w:r w:rsidRPr="00EA6891">
          <w:rPr>
            <w:rStyle w:val="Hyperkobling"/>
            <w:rFonts w:ascii="Arial" w:hAnsi="Arial" w:cs="Arial"/>
            <w:b/>
            <w:bCs/>
            <w:color w:val="auto"/>
            <w:u w:val="none"/>
            <w:lang w:eastAsia="nb-NO"/>
          </w:rPr>
          <w:t>Institute</w:t>
        </w:r>
        <w:proofErr w:type="spellEnd"/>
        <w:r w:rsidRPr="00EA6891">
          <w:rPr>
            <w:rStyle w:val="Hyperkobling"/>
            <w:rFonts w:ascii="Arial" w:hAnsi="Arial" w:cs="Arial"/>
            <w:b/>
            <w:bCs/>
            <w:color w:val="auto"/>
            <w:u w:val="none"/>
            <w:lang w:eastAsia="nb-NO"/>
          </w:rPr>
          <w:t xml:space="preserve"> (EI)</w:t>
        </w:r>
      </w:hyperlink>
      <w:r w:rsidRPr="00EA6891">
        <w:rPr>
          <w:rFonts w:ascii="Arial" w:hAnsi="Arial" w:cs="Arial"/>
          <w:b/>
          <w:bCs/>
          <w:lang w:eastAsia="nb-NO"/>
        </w:rPr>
        <w:t xml:space="preserve">, i samarbeid med KPMG, </w:t>
      </w:r>
      <w:proofErr w:type="spellStart"/>
      <w:r w:rsidRPr="00EA6891">
        <w:rPr>
          <w:rFonts w:ascii="Arial" w:hAnsi="Arial" w:cs="Arial"/>
          <w:b/>
          <w:bCs/>
          <w:lang w:eastAsia="nb-NO"/>
        </w:rPr>
        <w:t>Kearney</w:t>
      </w:r>
      <w:proofErr w:type="spellEnd"/>
      <w:r w:rsidRPr="00EA6891">
        <w:rPr>
          <w:rFonts w:ascii="Arial" w:hAnsi="Arial" w:cs="Arial"/>
          <w:b/>
          <w:bCs/>
          <w:lang w:eastAsia="nb-NO"/>
        </w:rPr>
        <w:t xml:space="preserve"> og </w:t>
      </w:r>
      <w:hyperlink r:id="rId10" w:tgtFrame="_blank" w:history="1">
        <w:r w:rsidRPr="00EA6891">
          <w:rPr>
            <w:rStyle w:val="Hyperkobling"/>
            <w:rFonts w:ascii="Arial" w:hAnsi="Arial" w:cs="Arial"/>
            <w:b/>
            <w:bCs/>
            <w:color w:val="auto"/>
            <w:u w:val="none"/>
            <w:lang w:eastAsia="nb-NO"/>
          </w:rPr>
          <w:t xml:space="preserve">Centre for Energy </w:t>
        </w:r>
        <w:proofErr w:type="spellStart"/>
        <w:r w:rsidRPr="00EA6891">
          <w:rPr>
            <w:rStyle w:val="Hyperkobling"/>
            <w:rFonts w:ascii="Arial" w:hAnsi="Arial" w:cs="Arial"/>
            <w:b/>
            <w:bCs/>
            <w:color w:val="auto"/>
            <w:u w:val="none"/>
            <w:lang w:eastAsia="nb-NO"/>
          </w:rPr>
          <w:t>Economics</w:t>
        </w:r>
        <w:proofErr w:type="spellEnd"/>
        <w:r w:rsidRPr="00EA6891">
          <w:rPr>
            <w:rStyle w:val="Hyperkobling"/>
            <w:rFonts w:ascii="Arial" w:hAnsi="Arial" w:cs="Arial"/>
            <w:b/>
            <w:bCs/>
            <w:color w:val="auto"/>
            <w:u w:val="none"/>
            <w:lang w:eastAsia="nb-NO"/>
          </w:rPr>
          <w:t xml:space="preserve"> Research and Policy </w:t>
        </w:r>
      </w:hyperlink>
      <w:r w:rsidRPr="00EA6891">
        <w:rPr>
          <w:rFonts w:ascii="Arial" w:hAnsi="Arial" w:cs="Arial"/>
          <w:b/>
          <w:bCs/>
          <w:lang w:eastAsia="nb-NO"/>
        </w:rPr>
        <w:t xml:space="preserve">(CEERP), et samarbeid mellom BP og </w:t>
      </w:r>
      <w:proofErr w:type="spellStart"/>
      <w:r w:rsidRPr="00EA6891">
        <w:rPr>
          <w:rFonts w:ascii="Arial" w:hAnsi="Arial" w:cs="Arial"/>
          <w:b/>
          <w:bCs/>
          <w:lang w:eastAsia="nb-NO"/>
        </w:rPr>
        <w:t>Heriot</w:t>
      </w:r>
      <w:proofErr w:type="spellEnd"/>
      <w:r w:rsidRPr="00EA6891">
        <w:rPr>
          <w:rFonts w:ascii="Arial" w:hAnsi="Arial" w:cs="Arial"/>
          <w:b/>
          <w:bCs/>
          <w:lang w:eastAsia="nb-NO"/>
        </w:rPr>
        <w:t>-Watt-universitetet, for å styrke troverdigheten og uavhengigheten. </w:t>
      </w:r>
    </w:p>
    <w:p w14:paraId="6657B9CD" w14:textId="77777777" w:rsidR="00EA6891" w:rsidRPr="00EA6891" w:rsidRDefault="00EA6891" w:rsidP="00EA6891">
      <w:pPr>
        <w:rPr>
          <w:rFonts w:ascii="Arial" w:hAnsi="Arial" w:cs="Arial"/>
          <w:b/>
          <w:bCs/>
          <w:lang w:eastAsia="nb-NO"/>
        </w:rPr>
      </w:pPr>
      <w:r w:rsidRPr="00EA6891">
        <w:rPr>
          <w:rFonts w:ascii="Arial" w:hAnsi="Arial" w:cs="Arial"/>
          <w:b/>
          <w:bCs/>
          <w:lang w:eastAsia="nb-NO"/>
        </w:rPr>
        <w:t>Det er derfor oppsiktsvekkende at ingen av de store norske avisene har omtalt årets utgave, med unntak av Dagens Næringsliv. </w:t>
      </w:r>
    </w:p>
    <w:p w14:paraId="4E7FE788" w14:textId="77777777" w:rsidR="00EA6891" w:rsidRPr="00EA6891" w:rsidRDefault="00EA6891" w:rsidP="00EA6891">
      <w:pPr>
        <w:rPr>
          <w:rFonts w:ascii="Arial" w:hAnsi="Arial" w:cs="Arial"/>
          <w:b/>
          <w:bCs/>
          <w:lang w:eastAsia="nb-NO"/>
        </w:rPr>
      </w:pPr>
      <w:r w:rsidRPr="00EA6891">
        <w:rPr>
          <w:rFonts w:ascii="Arial" w:hAnsi="Arial" w:cs="Arial"/>
          <w:b/>
          <w:bCs/>
          <w:lang w:eastAsia="nb-NO"/>
        </w:rPr>
        <w:t>Rapporten dokumenterer tydelig at verden ikke er inne i energitransisjon, men i en energiaddisjon. Det vil si at nye energikilder kommer i tillegg til, ikke i stedet for, de gamle. Dette følger et historisk mønster: Verken ved eller torv forsvant da kull kom, og kull forsvant ikke da olje tok over. </w:t>
      </w:r>
    </w:p>
    <w:p w14:paraId="1BE22220" w14:textId="77777777" w:rsidR="00EA6891" w:rsidRPr="00EA6891" w:rsidRDefault="00EA6891" w:rsidP="00EA6891">
      <w:pPr>
        <w:rPr>
          <w:rFonts w:ascii="Arial" w:hAnsi="Arial" w:cs="Arial"/>
          <w:b/>
          <w:bCs/>
          <w:sz w:val="28"/>
          <w:szCs w:val="28"/>
          <w:u w:val="single"/>
          <w:lang w:eastAsia="nb-NO"/>
        </w:rPr>
      </w:pPr>
      <w:r w:rsidRPr="00EA6891">
        <w:rPr>
          <w:rFonts w:ascii="Arial" w:hAnsi="Arial" w:cs="Arial"/>
          <w:b/>
          <w:bCs/>
          <w:lang w:eastAsia="nb-NO"/>
        </w:rPr>
        <w:br/>
      </w:r>
      <w:r w:rsidRPr="00EA6891">
        <w:rPr>
          <w:rFonts w:ascii="Arial" w:hAnsi="Arial" w:cs="Arial"/>
          <w:b/>
          <w:bCs/>
          <w:sz w:val="28"/>
          <w:szCs w:val="28"/>
          <w:u w:val="single"/>
          <w:lang w:eastAsia="nb-NO"/>
        </w:rPr>
        <w:t>Høyere forbruk av alt</w:t>
      </w:r>
    </w:p>
    <w:p w14:paraId="4D43F7AC" w14:textId="77777777" w:rsidR="00EA6891" w:rsidRPr="00EA6891" w:rsidRDefault="00EA6891" w:rsidP="00EA6891">
      <w:pPr>
        <w:rPr>
          <w:rFonts w:ascii="Arial" w:hAnsi="Arial" w:cs="Arial"/>
          <w:b/>
          <w:bCs/>
          <w:lang w:eastAsia="nb-NO"/>
        </w:rPr>
      </w:pPr>
      <w:r w:rsidRPr="00EA6891">
        <w:rPr>
          <w:rFonts w:ascii="Arial" w:hAnsi="Arial" w:cs="Arial"/>
          <w:b/>
          <w:bCs/>
          <w:lang w:eastAsia="nb-NO"/>
        </w:rPr>
        <w:t>Nå har vi 6 primærenergikilder: Olje, gass, kull, kjernekraft, vannkraft og fornybart (som inkluderer ved, torv, sol, vind og geotermisk energi). Elektrisitet, bensin, diesel og hydrogen er energibærere – ikke primærenergi. </w:t>
      </w:r>
    </w:p>
    <w:p w14:paraId="063BCFC8" w14:textId="4AEF9AF0" w:rsidR="00EA6891" w:rsidRPr="00EA6891" w:rsidRDefault="00EA6891" w:rsidP="00EA6891">
      <w:pPr>
        <w:rPr>
          <w:rFonts w:ascii="Arial" w:hAnsi="Arial" w:cs="Arial"/>
          <w:b/>
          <w:bCs/>
        </w:rPr>
      </w:pPr>
      <w:r w:rsidRPr="00EA6891">
        <w:rPr>
          <w:rFonts w:ascii="Arial" w:hAnsi="Arial" w:cs="Arial"/>
          <w:b/>
          <w:bCs/>
          <w:lang w:eastAsia="nb-NO"/>
        </w:rPr>
        <w:lastRenderedPageBreak/>
        <w:t>Hovedfunn fra rapporten som omhandler 2024 er: </w:t>
      </w:r>
    </w:p>
    <w:p w14:paraId="5400F7AD"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 xml:space="preserve">Verdens energiforbruk økte med 2,1 prosent til 164.513 </w:t>
      </w:r>
      <w:proofErr w:type="spellStart"/>
      <w:r w:rsidRPr="00E002F9">
        <w:rPr>
          <w:rFonts w:ascii="Arial" w:hAnsi="Arial" w:cs="Arial"/>
          <w:b/>
          <w:bCs/>
          <w:lang w:eastAsia="nb-NO"/>
        </w:rPr>
        <w:t>TWh</w:t>
      </w:r>
      <w:proofErr w:type="spellEnd"/>
      <w:r w:rsidRPr="00E002F9">
        <w:rPr>
          <w:rFonts w:ascii="Arial" w:hAnsi="Arial" w:cs="Arial"/>
          <w:b/>
          <w:bCs/>
          <w:lang w:eastAsia="nb-NO"/>
        </w:rPr>
        <w:t>. </w:t>
      </w:r>
    </w:p>
    <w:p w14:paraId="442A9BD6"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Olje: Opp 0,9 prosent, og utgjør 33,6 prosent av totalt energiforbruk. </w:t>
      </w:r>
    </w:p>
    <w:p w14:paraId="31A9417A"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Gass: Opp 2,8 prosent, og utgjør 25,1 prosent av totalt energiforbruk. </w:t>
      </w:r>
    </w:p>
    <w:p w14:paraId="4541ABE7"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Kull: Opp 1,2 prosent, og utgjør 27,9 prosent av totalt energiforbruk. </w:t>
      </w:r>
    </w:p>
    <w:p w14:paraId="036C9ACF"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Kjernekraft: Opp 2,7 prosent, og utgjør 5,2 prosent av totalt energiforbruk. </w:t>
      </w:r>
    </w:p>
    <w:p w14:paraId="787B9B29"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Vannkraft: Opp 4,6 prosent, og utgjør 2,7 prosent av totalt energiforbruk. </w:t>
      </w:r>
    </w:p>
    <w:p w14:paraId="38FC7B4A" w14:textId="77777777" w:rsidR="00EA6891" w:rsidRPr="00E002F9" w:rsidRDefault="00EA6891" w:rsidP="00E002F9">
      <w:pPr>
        <w:pStyle w:val="Listeavsnitt"/>
        <w:numPr>
          <w:ilvl w:val="0"/>
          <w:numId w:val="5"/>
        </w:numPr>
        <w:rPr>
          <w:rFonts w:ascii="Arial" w:hAnsi="Arial" w:cs="Arial"/>
          <w:b/>
          <w:bCs/>
          <w:lang w:eastAsia="nb-NO"/>
        </w:rPr>
      </w:pPr>
      <w:r w:rsidRPr="00E002F9">
        <w:rPr>
          <w:rFonts w:ascii="Arial" w:hAnsi="Arial" w:cs="Arial"/>
          <w:b/>
          <w:bCs/>
          <w:lang w:eastAsia="nb-NO"/>
        </w:rPr>
        <w:t>Fornybar: Opp 9 prosent, og utgjør 5,5 prosent av totalt energiforbruk. </w:t>
      </w:r>
    </w:p>
    <w:p w14:paraId="4912A86A" w14:textId="77777777" w:rsidR="00EA6891" w:rsidRPr="00E002F9" w:rsidRDefault="00EA6891" w:rsidP="00E002F9">
      <w:pPr>
        <w:pStyle w:val="Listeavsnitt"/>
        <w:numPr>
          <w:ilvl w:val="0"/>
          <w:numId w:val="5"/>
        </w:numPr>
        <w:rPr>
          <w:rFonts w:ascii="Arial" w:hAnsi="Arial" w:cs="Arial"/>
          <w:b/>
          <w:bCs/>
        </w:rPr>
      </w:pPr>
      <w:r w:rsidRPr="00E002F9">
        <w:rPr>
          <w:rFonts w:ascii="Arial" w:hAnsi="Arial" w:cs="Arial"/>
          <w:b/>
          <w:bCs/>
          <w:lang w:eastAsia="nb-NO"/>
        </w:rPr>
        <w:t>CO</w:t>
      </w:r>
      <w:r w:rsidRPr="00E002F9">
        <w:rPr>
          <w:rFonts w:ascii="Cambria Math" w:hAnsi="Cambria Math" w:cs="Cambria Math"/>
          <w:b/>
          <w:bCs/>
          <w:lang w:eastAsia="nb-NO"/>
        </w:rPr>
        <w:t>₂</w:t>
      </w:r>
      <w:r w:rsidRPr="00E002F9">
        <w:rPr>
          <w:rFonts w:ascii="Arial" w:hAnsi="Arial" w:cs="Arial"/>
          <w:b/>
          <w:bCs/>
          <w:lang w:eastAsia="nb-NO"/>
        </w:rPr>
        <w:t>-utslippene relatert til olje, kull og gass økte med 1,1 prosent og nådde et nytt rekordnivå på 35,5 milliarder tonn. Disse utslippene utgjør omtrent 70 prosent av verdens klimagassutslipp. </w:t>
      </w:r>
    </w:p>
    <w:p w14:paraId="4E081FD5" w14:textId="77777777" w:rsidR="00EA6891" w:rsidRPr="00EA6891" w:rsidRDefault="00EA6891" w:rsidP="00EA6891">
      <w:pPr>
        <w:rPr>
          <w:rFonts w:ascii="Arial" w:hAnsi="Arial" w:cs="Arial"/>
          <w:b/>
          <w:bCs/>
          <w:lang w:eastAsia="nb-NO"/>
        </w:rPr>
      </w:pPr>
    </w:p>
    <w:p w14:paraId="6BD3BEE0" w14:textId="77777777" w:rsidR="00EA6891" w:rsidRPr="00EA6891" w:rsidRDefault="00EA6891" w:rsidP="00EA6891">
      <w:pPr>
        <w:rPr>
          <w:rFonts w:ascii="Arial" w:hAnsi="Arial" w:cs="Arial"/>
          <w:b/>
          <w:bCs/>
        </w:rPr>
      </w:pPr>
      <w:r w:rsidRPr="00EA6891">
        <w:rPr>
          <w:rFonts w:ascii="Arial" w:hAnsi="Arial" w:cs="Arial"/>
          <w:b/>
          <w:bCs/>
          <w:lang w:eastAsia="nb-NO"/>
        </w:rPr>
        <w:t xml:space="preserve">Alle primærenergikilder økte i forbruk. Fossil energi (olje, gass og kull) utgjør fortsatt hele 86,6 prosent av det globale energiforbruket. I absolutte tall økte verdens energiforbruk med 3306 </w:t>
      </w:r>
      <w:proofErr w:type="spellStart"/>
      <w:r w:rsidRPr="00EA6891">
        <w:rPr>
          <w:rFonts w:ascii="Arial" w:hAnsi="Arial" w:cs="Arial"/>
          <w:b/>
          <w:bCs/>
          <w:lang w:eastAsia="nb-NO"/>
        </w:rPr>
        <w:t>TWh</w:t>
      </w:r>
      <w:proofErr w:type="spellEnd"/>
      <w:r w:rsidRPr="00EA6891">
        <w:rPr>
          <w:rFonts w:ascii="Arial" w:hAnsi="Arial" w:cs="Arial"/>
          <w:b/>
          <w:bCs/>
          <w:lang w:eastAsia="nb-NO"/>
        </w:rPr>
        <w:t xml:space="preserve">, hvorav 2139 </w:t>
      </w:r>
      <w:proofErr w:type="spellStart"/>
      <w:r w:rsidRPr="00EA6891">
        <w:rPr>
          <w:rFonts w:ascii="Arial" w:hAnsi="Arial" w:cs="Arial"/>
          <w:b/>
          <w:bCs/>
          <w:lang w:eastAsia="nb-NO"/>
        </w:rPr>
        <w:t>TWh</w:t>
      </w:r>
      <w:proofErr w:type="spellEnd"/>
      <w:r w:rsidRPr="00EA6891">
        <w:rPr>
          <w:rFonts w:ascii="Arial" w:hAnsi="Arial" w:cs="Arial"/>
          <w:b/>
          <w:bCs/>
          <w:lang w:eastAsia="nb-NO"/>
        </w:rPr>
        <w:t xml:space="preserve"> kom fra fossil energi, 750 </w:t>
      </w:r>
      <w:proofErr w:type="spellStart"/>
      <w:r w:rsidRPr="00EA6891">
        <w:rPr>
          <w:rFonts w:ascii="Arial" w:hAnsi="Arial" w:cs="Arial"/>
          <w:b/>
          <w:bCs/>
          <w:lang w:eastAsia="nb-NO"/>
        </w:rPr>
        <w:t>TWh</w:t>
      </w:r>
      <w:proofErr w:type="spellEnd"/>
      <w:r w:rsidRPr="00EA6891">
        <w:rPr>
          <w:rFonts w:ascii="Arial" w:hAnsi="Arial" w:cs="Arial"/>
          <w:b/>
          <w:bCs/>
          <w:lang w:eastAsia="nb-NO"/>
        </w:rPr>
        <w:t xml:space="preserve"> fra fornybar, 222 </w:t>
      </w:r>
      <w:proofErr w:type="spellStart"/>
      <w:r w:rsidRPr="00EA6891">
        <w:rPr>
          <w:rFonts w:ascii="Arial" w:hAnsi="Arial" w:cs="Arial"/>
          <w:b/>
          <w:bCs/>
          <w:lang w:eastAsia="nb-NO"/>
        </w:rPr>
        <w:t>TWh</w:t>
      </w:r>
      <w:proofErr w:type="spellEnd"/>
      <w:r w:rsidRPr="00EA6891">
        <w:rPr>
          <w:rFonts w:ascii="Arial" w:hAnsi="Arial" w:cs="Arial"/>
          <w:b/>
          <w:bCs/>
          <w:lang w:eastAsia="nb-NO"/>
        </w:rPr>
        <w:t xml:space="preserve"> fra kjernekraft og 194 </w:t>
      </w:r>
      <w:proofErr w:type="spellStart"/>
      <w:r w:rsidRPr="00EA6891">
        <w:rPr>
          <w:rFonts w:ascii="Arial" w:hAnsi="Arial" w:cs="Arial"/>
          <w:b/>
          <w:bCs/>
          <w:lang w:eastAsia="nb-NO"/>
        </w:rPr>
        <w:t>TWh</w:t>
      </w:r>
      <w:proofErr w:type="spellEnd"/>
      <w:r w:rsidRPr="00EA6891">
        <w:rPr>
          <w:rFonts w:ascii="Arial" w:hAnsi="Arial" w:cs="Arial"/>
          <w:b/>
          <w:bCs/>
          <w:lang w:eastAsia="nb-NO"/>
        </w:rPr>
        <w:t xml:space="preserve"> fra vannkraft. </w:t>
      </w:r>
    </w:p>
    <w:p w14:paraId="04081BF3" w14:textId="77777777" w:rsidR="00EA6891" w:rsidRPr="00EA6891" w:rsidRDefault="00EA6891" w:rsidP="00EA6891">
      <w:pPr>
        <w:rPr>
          <w:rFonts w:ascii="Arial" w:hAnsi="Arial" w:cs="Arial"/>
          <w:b/>
          <w:bCs/>
          <w:lang w:eastAsia="nb-NO"/>
        </w:rPr>
      </w:pPr>
    </w:p>
    <w:p w14:paraId="132827F1" w14:textId="2005ED5B" w:rsidR="00EA6891" w:rsidRPr="00EA6891" w:rsidRDefault="00EA6891" w:rsidP="00EA6891">
      <w:pPr>
        <w:rPr>
          <w:rFonts w:ascii="Arial" w:hAnsi="Arial" w:cs="Arial"/>
          <w:b/>
          <w:bCs/>
        </w:rPr>
      </w:pPr>
      <w:r w:rsidRPr="00EA6891">
        <w:rPr>
          <w:rFonts w:ascii="Arial" w:hAnsi="Arial" w:cs="Arial"/>
          <w:b/>
          <w:bCs/>
          <w:lang w:eastAsia="nb-NO"/>
        </w:rPr>
        <w:t>Konklusjonen er krystallklar:</w:t>
      </w:r>
      <w:r w:rsidRPr="00EA6891">
        <w:rPr>
          <w:rFonts w:ascii="Arial" w:hAnsi="Arial" w:cs="Arial"/>
          <w:b/>
          <w:bCs/>
          <w:lang w:eastAsia="nb-NO"/>
        </w:rPr>
        <w:br/>
        <w:t>Vi opplever en energiaddisjon – ikke en transisjon. </w:t>
      </w:r>
    </w:p>
    <w:p w14:paraId="206239D0" w14:textId="77777777" w:rsidR="00EA6891" w:rsidRPr="00EA6891" w:rsidRDefault="00EA6891" w:rsidP="00EA6891">
      <w:pPr>
        <w:rPr>
          <w:rFonts w:ascii="Arial" w:hAnsi="Arial" w:cs="Arial"/>
          <w:b/>
          <w:bCs/>
        </w:rPr>
      </w:pPr>
      <w:r w:rsidRPr="00EA6891">
        <w:rPr>
          <w:rFonts w:ascii="Arial" w:hAnsi="Arial" w:cs="Arial"/>
          <w:b/>
          <w:bCs/>
          <w:lang w:eastAsia="nb-NO"/>
        </w:rPr>
        <w:t>Og:</w:t>
      </w:r>
      <w:r w:rsidRPr="00EA6891">
        <w:rPr>
          <w:rFonts w:ascii="Arial" w:hAnsi="Arial" w:cs="Arial"/>
          <w:b/>
          <w:bCs/>
          <w:lang w:eastAsia="nb-NO"/>
        </w:rPr>
        <w:br/>
        <w:t>Norge er verdensledende i det grønne skiftet </w:t>
      </w:r>
    </w:p>
    <w:p w14:paraId="0412DF5B" w14:textId="77777777" w:rsidR="00EA6891" w:rsidRPr="00EA6891" w:rsidRDefault="00EA6891" w:rsidP="00EA6891">
      <w:pPr>
        <w:rPr>
          <w:rFonts w:ascii="Arial" w:hAnsi="Arial" w:cs="Arial"/>
          <w:b/>
          <w:bCs/>
          <w:lang w:eastAsia="nb-NO"/>
        </w:rPr>
      </w:pPr>
    </w:p>
    <w:p w14:paraId="73509A68" w14:textId="77777777" w:rsidR="00EA6891" w:rsidRPr="00EA6891" w:rsidRDefault="00EA6891" w:rsidP="00EA6891">
      <w:pPr>
        <w:rPr>
          <w:rFonts w:ascii="Arial" w:hAnsi="Arial" w:cs="Arial"/>
          <w:b/>
          <w:bCs/>
          <w:lang w:eastAsia="nb-NO"/>
        </w:rPr>
      </w:pPr>
      <w:r w:rsidRPr="00EA6891">
        <w:rPr>
          <w:rFonts w:ascii="Arial" w:hAnsi="Arial" w:cs="Arial"/>
          <w:b/>
          <w:bCs/>
          <w:lang w:eastAsia="nb-NO"/>
        </w:rPr>
        <w:t>Årets rapport benytter nå TES (Total Energy Supply) – en metode som følger FNs anbefalte praksis for energistatistikk (IRES). Dette gir et mer presist bilde av nasjoners energimikser. </w:t>
      </w:r>
    </w:p>
    <w:p w14:paraId="76406A4F" w14:textId="77777777" w:rsidR="00EA6891" w:rsidRPr="00EA6891" w:rsidRDefault="00EA6891" w:rsidP="00EA6891">
      <w:pPr>
        <w:rPr>
          <w:rFonts w:ascii="Arial" w:hAnsi="Arial" w:cs="Arial"/>
          <w:b/>
          <w:bCs/>
          <w:lang w:eastAsia="nb-NO"/>
        </w:rPr>
      </w:pPr>
      <w:r w:rsidRPr="00EA6891">
        <w:rPr>
          <w:rFonts w:ascii="Arial" w:hAnsi="Arial" w:cs="Arial"/>
          <w:b/>
          <w:bCs/>
          <w:lang w:eastAsia="nb-NO"/>
        </w:rPr>
        <w:t>For eksempel: </w:t>
      </w:r>
    </w:p>
    <w:p w14:paraId="203B5382" w14:textId="77777777" w:rsidR="00EA6891" w:rsidRPr="00EA6891" w:rsidRDefault="00EA6891" w:rsidP="00EA6891">
      <w:pPr>
        <w:pStyle w:val="Listeavsnitt"/>
        <w:numPr>
          <w:ilvl w:val="0"/>
          <w:numId w:val="4"/>
        </w:numPr>
        <w:rPr>
          <w:rFonts w:ascii="Arial" w:hAnsi="Arial" w:cs="Arial"/>
          <w:b/>
          <w:bCs/>
          <w:lang w:eastAsia="nb-NO"/>
        </w:rPr>
      </w:pPr>
      <w:r w:rsidRPr="00EA6891">
        <w:rPr>
          <w:rFonts w:ascii="Arial" w:hAnsi="Arial" w:cs="Arial"/>
          <w:b/>
          <w:bCs/>
          <w:lang w:eastAsia="nb-NO"/>
        </w:rPr>
        <w:t>Norge: 51,6 prosent fornybar, inkludert vannkraft. </w:t>
      </w:r>
    </w:p>
    <w:p w14:paraId="1EFF70FB" w14:textId="77777777" w:rsidR="00EA6891" w:rsidRPr="00EA6891" w:rsidRDefault="00EA6891" w:rsidP="00EA6891">
      <w:pPr>
        <w:pStyle w:val="Listeavsnitt"/>
        <w:numPr>
          <w:ilvl w:val="0"/>
          <w:numId w:val="4"/>
        </w:numPr>
        <w:rPr>
          <w:rFonts w:ascii="Arial" w:hAnsi="Arial" w:cs="Arial"/>
          <w:b/>
          <w:bCs/>
          <w:lang w:eastAsia="nb-NO"/>
        </w:rPr>
      </w:pPr>
      <w:r w:rsidRPr="00EA6891">
        <w:rPr>
          <w:rFonts w:ascii="Arial" w:hAnsi="Arial" w:cs="Arial"/>
          <w:b/>
          <w:bCs/>
          <w:lang w:eastAsia="nb-NO"/>
        </w:rPr>
        <w:t>EU: 12,9 prosent fornybar, inkludert vannkraft. </w:t>
      </w:r>
    </w:p>
    <w:p w14:paraId="489DFCFD" w14:textId="77777777" w:rsidR="00EA6891" w:rsidRPr="00EA6891" w:rsidRDefault="00EA6891" w:rsidP="00EA6891">
      <w:pPr>
        <w:pStyle w:val="Listeavsnitt"/>
        <w:numPr>
          <w:ilvl w:val="0"/>
          <w:numId w:val="4"/>
        </w:numPr>
        <w:rPr>
          <w:rFonts w:ascii="Arial" w:hAnsi="Arial" w:cs="Arial"/>
          <w:b/>
          <w:bCs/>
          <w:lang w:eastAsia="nb-NO"/>
        </w:rPr>
      </w:pPr>
      <w:r w:rsidRPr="00EA6891">
        <w:rPr>
          <w:rFonts w:ascii="Arial" w:hAnsi="Arial" w:cs="Arial"/>
          <w:b/>
          <w:bCs/>
          <w:lang w:eastAsia="nb-NO"/>
        </w:rPr>
        <w:t>Kina: 8,7 prosent fornybar, inkludert vannkraft. </w:t>
      </w:r>
    </w:p>
    <w:p w14:paraId="6FFF4B67" w14:textId="77777777" w:rsidR="00EA6891" w:rsidRPr="00EA6891" w:rsidRDefault="00EA6891" w:rsidP="00EA6891">
      <w:pPr>
        <w:pStyle w:val="Listeavsnitt"/>
        <w:numPr>
          <w:ilvl w:val="0"/>
          <w:numId w:val="4"/>
        </w:numPr>
        <w:rPr>
          <w:rFonts w:ascii="Arial" w:hAnsi="Arial" w:cs="Arial"/>
          <w:b/>
          <w:bCs/>
        </w:rPr>
      </w:pPr>
      <w:r w:rsidRPr="00EA6891">
        <w:rPr>
          <w:rFonts w:ascii="Arial" w:hAnsi="Arial" w:cs="Arial"/>
          <w:b/>
          <w:bCs/>
          <w:lang w:eastAsia="nb-NO"/>
        </w:rPr>
        <w:t>USA: 7,2 prosent fornybar, inkludert vannkraft. </w:t>
      </w:r>
    </w:p>
    <w:p w14:paraId="5EB6F0C5" w14:textId="77777777" w:rsidR="00EA6891" w:rsidRPr="00EA6891" w:rsidRDefault="00EA6891" w:rsidP="00EA6891">
      <w:pPr>
        <w:rPr>
          <w:rFonts w:ascii="Arial" w:hAnsi="Arial" w:cs="Arial"/>
          <w:b/>
          <w:bCs/>
          <w:lang w:eastAsia="nb-NO"/>
        </w:rPr>
      </w:pPr>
    </w:p>
    <w:p w14:paraId="2FFC91ED" w14:textId="77777777" w:rsidR="00EA6891" w:rsidRPr="00EA6891" w:rsidRDefault="00EA6891" w:rsidP="00EA6891">
      <w:pPr>
        <w:rPr>
          <w:rFonts w:ascii="Arial" w:hAnsi="Arial" w:cs="Arial"/>
          <w:b/>
          <w:bCs/>
          <w:lang w:eastAsia="nb-NO"/>
        </w:rPr>
      </w:pPr>
      <w:r w:rsidRPr="00EA6891">
        <w:rPr>
          <w:rFonts w:ascii="Arial" w:hAnsi="Arial" w:cs="Arial"/>
          <w:b/>
          <w:bCs/>
          <w:lang w:eastAsia="nb-NO"/>
        </w:rPr>
        <w:t xml:space="preserve">Norges </w:t>
      </w:r>
      <w:proofErr w:type="spellStart"/>
      <w:r w:rsidRPr="00EA6891">
        <w:rPr>
          <w:rFonts w:ascii="Arial" w:hAnsi="Arial" w:cs="Arial"/>
          <w:b/>
          <w:bCs/>
          <w:lang w:eastAsia="nb-NO"/>
        </w:rPr>
        <w:t>energimix</w:t>
      </w:r>
      <w:proofErr w:type="spellEnd"/>
      <w:r w:rsidRPr="00EA6891">
        <w:rPr>
          <w:rFonts w:ascii="Arial" w:hAnsi="Arial" w:cs="Arial"/>
          <w:b/>
          <w:bCs/>
          <w:lang w:eastAsia="nb-NO"/>
        </w:rPr>
        <w:t xml:space="preserve"> er i en særstilling globalt, kun sammenlignbar med Island. Vi tok det grønne skiftet gjennom vannkraftutbyggingen i forrige århundre. Norges klimagassutslipp er mindre enn én promille av de globale utslippene og lavere per innbygger enn snittet i OECD. </w:t>
      </w:r>
    </w:p>
    <w:p w14:paraId="0776ECF8" w14:textId="77777777" w:rsidR="00EA6891" w:rsidRPr="00EA6891" w:rsidRDefault="00EA6891" w:rsidP="00EA6891">
      <w:pPr>
        <w:rPr>
          <w:rFonts w:ascii="Arial" w:hAnsi="Arial" w:cs="Arial"/>
          <w:b/>
          <w:bCs/>
          <w:sz w:val="28"/>
          <w:szCs w:val="28"/>
          <w:u w:val="single"/>
          <w:lang w:eastAsia="nb-NO"/>
        </w:rPr>
      </w:pPr>
      <w:r w:rsidRPr="00EA6891">
        <w:rPr>
          <w:rFonts w:ascii="Arial" w:hAnsi="Arial" w:cs="Arial"/>
          <w:b/>
          <w:bCs/>
          <w:lang w:eastAsia="nb-NO"/>
        </w:rPr>
        <w:lastRenderedPageBreak/>
        <w:br/>
      </w:r>
      <w:r w:rsidRPr="00EA6891">
        <w:rPr>
          <w:rFonts w:ascii="Arial" w:hAnsi="Arial" w:cs="Arial"/>
          <w:b/>
          <w:bCs/>
          <w:sz w:val="28"/>
          <w:szCs w:val="28"/>
          <w:u w:val="single"/>
          <w:lang w:eastAsia="nb-NO"/>
        </w:rPr>
        <w:t>Vekst og velstand driver energibehov </w:t>
      </w:r>
    </w:p>
    <w:p w14:paraId="786D9E96" w14:textId="77777777" w:rsidR="00EA6891" w:rsidRPr="00EA6891" w:rsidRDefault="00EA6891" w:rsidP="00EA6891">
      <w:pPr>
        <w:rPr>
          <w:rFonts w:ascii="Arial" w:hAnsi="Arial" w:cs="Arial"/>
          <w:b/>
          <w:bCs/>
          <w:lang w:eastAsia="nb-NO"/>
        </w:rPr>
      </w:pPr>
      <w:r w:rsidRPr="00EA6891">
        <w:rPr>
          <w:rFonts w:ascii="Arial" w:hAnsi="Arial" w:cs="Arial"/>
          <w:b/>
          <w:bCs/>
          <w:lang w:eastAsia="nb-NO"/>
        </w:rPr>
        <w:t>Verdens befolkning øker fortsatt med cirka 70 millioner mennesker årlig, og millioner løftes ut av fattigdom gjennom tilgang på billig energi. Siden år 2000 har antall mennesker på kloden økt med mer enn 2 milliarder. Fremdeles lever veldig mange uten tilgang på bad eller kokemuligheter på gass eller strøm. Men under 10 prosent av verdens befolkning lever nå i ekstrem fattigdom – en dramatisk nedgang de siste tiårene. </w:t>
      </w:r>
    </w:p>
    <w:p w14:paraId="2069DF0C" w14:textId="77777777" w:rsidR="00EA6891" w:rsidRPr="00EA6891" w:rsidRDefault="00EA6891" w:rsidP="00EA6891">
      <w:pPr>
        <w:rPr>
          <w:rFonts w:ascii="Arial" w:hAnsi="Arial" w:cs="Arial"/>
          <w:b/>
          <w:bCs/>
          <w:lang w:eastAsia="nb-NO"/>
        </w:rPr>
      </w:pPr>
      <w:r w:rsidRPr="00EA6891">
        <w:rPr>
          <w:rFonts w:ascii="Arial" w:hAnsi="Arial" w:cs="Arial"/>
          <w:b/>
          <w:bCs/>
          <w:lang w:eastAsia="nb-NO"/>
        </w:rPr>
        <w:t>Det er derfor lite troverdig når politikere i Norge eller Europa påstår at de skal «redde verdens klima». Enten har de ikke satt seg inn i realitetene, eller så snakker de mot bedre vitende. Hadde det eksistert en enkel løsning på verdens energi- og klimautfordringer så hadde den vært iverksatt for lenge siden. </w:t>
      </w:r>
    </w:p>
    <w:p w14:paraId="189EA142" w14:textId="3EF9C299" w:rsidR="00EA6891" w:rsidRPr="00EA6891" w:rsidRDefault="00EA6891" w:rsidP="00EA6891">
      <w:pPr>
        <w:rPr>
          <w:rFonts w:ascii="Arial" w:hAnsi="Arial" w:cs="Arial"/>
          <w:b/>
          <w:bCs/>
          <w:lang w:eastAsia="nb-NO"/>
        </w:rPr>
      </w:pPr>
      <w:r w:rsidRPr="00EA6891">
        <w:rPr>
          <w:rFonts w:ascii="Arial" w:hAnsi="Arial" w:cs="Arial"/>
          <w:b/>
          <w:bCs/>
          <w:lang w:eastAsia="nb-NO"/>
        </w:rPr>
        <w:t xml:space="preserve">Personlig tror jeg verden må satse på kjernekraft for å redusere globale klimagassutslipp uten å ødelegge naturen. Vi som bor i </w:t>
      </w:r>
      <w:r w:rsidR="007C0B9E" w:rsidRPr="00EA6891">
        <w:rPr>
          <w:rFonts w:ascii="Arial" w:hAnsi="Arial" w:cs="Arial"/>
          <w:b/>
          <w:bCs/>
          <w:lang w:eastAsia="nb-NO"/>
        </w:rPr>
        <w:t>Rogaland,</w:t>
      </w:r>
      <w:r w:rsidRPr="00EA6891">
        <w:rPr>
          <w:rFonts w:ascii="Arial" w:hAnsi="Arial" w:cs="Arial"/>
          <w:b/>
          <w:bCs/>
          <w:lang w:eastAsia="nb-NO"/>
        </w:rPr>
        <w:t xml:space="preserve"> kjenner godt konsekvensene for naturen av både vannkraft og vindkraftutbygging. </w:t>
      </w:r>
    </w:p>
    <w:p w14:paraId="189D28E9" w14:textId="77777777" w:rsidR="00EA6891" w:rsidRPr="00EA6891" w:rsidRDefault="00EA6891" w:rsidP="00EA6891">
      <w:pPr>
        <w:rPr>
          <w:rFonts w:ascii="Arial" w:hAnsi="Arial" w:cs="Arial"/>
          <w:b/>
          <w:bCs/>
          <w:lang w:eastAsia="nb-NO"/>
        </w:rPr>
      </w:pPr>
      <w:r w:rsidRPr="00EA6891">
        <w:rPr>
          <w:rFonts w:ascii="Arial" w:hAnsi="Arial" w:cs="Arial"/>
          <w:b/>
          <w:bCs/>
          <w:lang w:eastAsia="nb-NO"/>
        </w:rPr>
        <w:t>84 prosent av vassdragene i Rogaland er lagt i rør, og 257 vindturbiner er spredt utover fylket. </w:t>
      </w:r>
    </w:p>
    <w:p w14:paraId="60373481" w14:textId="77777777" w:rsidR="00EA6891" w:rsidRPr="00EA6891" w:rsidRDefault="00EA6891" w:rsidP="00EA6891">
      <w:pPr>
        <w:rPr>
          <w:rFonts w:ascii="Arial" w:hAnsi="Arial" w:cs="Arial"/>
          <w:b/>
          <w:bCs/>
          <w:sz w:val="28"/>
          <w:szCs w:val="28"/>
          <w:u w:val="single"/>
          <w:lang w:eastAsia="nb-NO"/>
        </w:rPr>
      </w:pPr>
      <w:r w:rsidRPr="00EA6891">
        <w:rPr>
          <w:rFonts w:ascii="Arial" w:hAnsi="Arial" w:cs="Arial"/>
          <w:b/>
          <w:bCs/>
          <w:lang w:eastAsia="nb-NO"/>
        </w:rPr>
        <w:br/>
      </w:r>
      <w:r w:rsidRPr="00EA6891">
        <w:rPr>
          <w:rFonts w:ascii="Arial" w:hAnsi="Arial" w:cs="Arial"/>
          <w:b/>
          <w:bCs/>
          <w:sz w:val="28"/>
          <w:szCs w:val="28"/>
          <w:u w:val="single"/>
          <w:lang w:eastAsia="nb-NO"/>
        </w:rPr>
        <w:t>Nye klimamål</w:t>
      </w:r>
    </w:p>
    <w:p w14:paraId="40E62C1A" w14:textId="77777777" w:rsidR="00EA6891" w:rsidRPr="00EA6891" w:rsidRDefault="00EA6891" w:rsidP="00EA6891">
      <w:pPr>
        <w:rPr>
          <w:rFonts w:ascii="Arial" w:hAnsi="Arial" w:cs="Arial"/>
          <w:b/>
          <w:bCs/>
          <w:lang w:eastAsia="nb-NO"/>
        </w:rPr>
      </w:pPr>
      <w:r w:rsidRPr="00EA6891">
        <w:rPr>
          <w:rFonts w:ascii="Arial" w:hAnsi="Arial" w:cs="Arial"/>
          <w:b/>
          <w:bCs/>
          <w:lang w:eastAsia="nb-NO"/>
        </w:rPr>
        <w:t>Klimaambisjonene som Ap, Høyre og Venstre nylig fikk vedtatt i Stortinget om å kutte 70-75 prosent innen 2035 er fantasier som dessverre kan resultere i avindustrialisering. </w:t>
      </w:r>
    </w:p>
    <w:p w14:paraId="5936C938" w14:textId="77777777" w:rsidR="00EA6891" w:rsidRPr="00EA6891" w:rsidRDefault="00EA6891" w:rsidP="00EA6891">
      <w:pPr>
        <w:rPr>
          <w:rFonts w:ascii="Arial" w:hAnsi="Arial" w:cs="Arial"/>
          <w:b/>
          <w:bCs/>
          <w:lang w:eastAsia="nb-NO"/>
        </w:rPr>
      </w:pPr>
      <w:r w:rsidRPr="00EA6891">
        <w:rPr>
          <w:rFonts w:ascii="Arial" w:hAnsi="Arial" w:cs="Arial"/>
          <w:b/>
          <w:bCs/>
          <w:lang w:eastAsia="nb-NO"/>
        </w:rPr>
        <w:t>Tysk industri sendte nylig et krast brev til den tyske regjeringen, der de advarer om industridød som følge av det grønne skiftet. Norge har brukt 34 år på å kutte klimagassene med 6,3 millioner tonn og skal bruke 10 år på å kutte ytterligere 32,2 millioner tonn, ifølge tallene SSB slapp 6. juni 2025. </w:t>
      </w:r>
    </w:p>
    <w:p w14:paraId="25D25924" w14:textId="77777777" w:rsidR="00EA6891" w:rsidRPr="00EA6891" w:rsidRDefault="00EA6891" w:rsidP="00EA6891">
      <w:pPr>
        <w:rPr>
          <w:rFonts w:ascii="Arial" w:hAnsi="Arial" w:cs="Arial"/>
          <w:b/>
          <w:bCs/>
          <w:lang w:eastAsia="nb-NO"/>
        </w:rPr>
      </w:pPr>
      <w:r w:rsidRPr="00EA6891">
        <w:rPr>
          <w:rFonts w:ascii="Arial" w:hAnsi="Arial" w:cs="Arial"/>
          <w:b/>
          <w:bCs/>
          <w:lang w:eastAsia="nb-NO"/>
        </w:rPr>
        <w:t>Dette innebærer at Norge må gjøre tiltak tilsvarende å legge ned olje- og gassnæringen, all annen industri, stoppe veitrafikken pluss litt til. Våre edle ambisjoner vil dessverre heller ikke bedre klimaet i verden all den tid globale utslipp økte 11 ganger så mye som Norges totale utslipp i 2024. </w:t>
      </w:r>
    </w:p>
    <w:p w14:paraId="11B26DDB" w14:textId="77777777" w:rsidR="00EA6891" w:rsidRPr="00EA6891" w:rsidRDefault="00EA6891" w:rsidP="00EA6891">
      <w:pPr>
        <w:rPr>
          <w:rFonts w:ascii="Arial" w:hAnsi="Arial" w:cs="Arial"/>
          <w:b/>
          <w:bCs/>
          <w:lang w:eastAsia="nb-NO"/>
        </w:rPr>
      </w:pPr>
      <w:r w:rsidRPr="00EA6891">
        <w:rPr>
          <w:rFonts w:ascii="Arial" w:hAnsi="Arial" w:cs="Arial"/>
          <w:b/>
          <w:bCs/>
          <w:lang w:eastAsia="nb-NO"/>
        </w:rPr>
        <w:t>Plasserer du Norges befolkning i Kina, blir det den 25. største byen i Kina. Vi er ikke så betydningsfulle som mange politikere tror. Kanskje stortingspolitikerne derfor burde bruke sommeren på å lese verdens mest respekterte energirapport – og møte høstens valgkampdebatt med fakta, ikke illusjoner.</w:t>
      </w:r>
    </w:p>
    <w:p w14:paraId="4C6797DC" w14:textId="77777777" w:rsidR="004274DE" w:rsidRPr="00EA6891" w:rsidRDefault="004274DE" w:rsidP="00EA6891">
      <w:pPr>
        <w:rPr>
          <w:rFonts w:ascii="Arial" w:hAnsi="Arial" w:cs="Arial"/>
          <w:b/>
          <w:bCs/>
        </w:rPr>
      </w:pPr>
    </w:p>
    <w:sectPr w:rsidR="004274DE" w:rsidRPr="00EA6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043"/>
    <w:multiLevelType w:val="hybridMultilevel"/>
    <w:tmpl w:val="23FA8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B50C81"/>
    <w:multiLevelType w:val="multilevel"/>
    <w:tmpl w:val="E33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57A21"/>
    <w:multiLevelType w:val="multilevel"/>
    <w:tmpl w:val="45F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F09D8"/>
    <w:multiLevelType w:val="multilevel"/>
    <w:tmpl w:val="9EA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72F39"/>
    <w:multiLevelType w:val="hybridMultilevel"/>
    <w:tmpl w:val="C75248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8101406">
    <w:abstractNumId w:val="3"/>
  </w:num>
  <w:num w:numId="2" w16cid:durableId="741024994">
    <w:abstractNumId w:val="2"/>
  </w:num>
  <w:num w:numId="3" w16cid:durableId="851333627">
    <w:abstractNumId w:val="1"/>
  </w:num>
  <w:num w:numId="4" w16cid:durableId="1198735296">
    <w:abstractNumId w:val="4"/>
  </w:num>
  <w:num w:numId="5" w16cid:durableId="14602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91"/>
    <w:rsid w:val="004274DE"/>
    <w:rsid w:val="007C0B9E"/>
    <w:rsid w:val="008A5525"/>
    <w:rsid w:val="009D3E20"/>
    <w:rsid w:val="00B747CD"/>
    <w:rsid w:val="00E002F9"/>
    <w:rsid w:val="00E7787D"/>
    <w:rsid w:val="00EA6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BEBF"/>
  <w15:chartTrackingRefBased/>
  <w15:docId w15:val="{F92F66A3-B59F-4CAD-9BC8-8ACC0766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6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6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689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689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689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689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689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689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689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689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A689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A689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A689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A689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A689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A689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A689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A6891"/>
    <w:rPr>
      <w:rFonts w:eastAsiaTheme="majorEastAsia" w:cstheme="majorBidi"/>
      <w:color w:val="272727" w:themeColor="text1" w:themeTint="D8"/>
    </w:rPr>
  </w:style>
  <w:style w:type="paragraph" w:styleId="Tittel">
    <w:name w:val="Title"/>
    <w:basedOn w:val="Normal"/>
    <w:next w:val="Normal"/>
    <w:link w:val="TittelTegn"/>
    <w:uiPriority w:val="10"/>
    <w:qFormat/>
    <w:rsid w:val="00EA6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A689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A689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A689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A689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A6891"/>
    <w:rPr>
      <w:i/>
      <w:iCs/>
      <w:color w:val="404040" w:themeColor="text1" w:themeTint="BF"/>
    </w:rPr>
  </w:style>
  <w:style w:type="paragraph" w:styleId="Listeavsnitt">
    <w:name w:val="List Paragraph"/>
    <w:basedOn w:val="Normal"/>
    <w:uiPriority w:val="34"/>
    <w:qFormat/>
    <w:rsid w:val="00EA6891"/>
    <w:pPr>
      <w:ind w:left="720"/>
      <w:contextualSpacing/>
    </w:pPr>
  </w:style>
  <w:style w:type="character" w:styleId="Sterkutheving">
    <w:name w:val="Intense Emphasis"/>
    <w:basedOn w:val="Standardskriftforavsnitt"/>
    <w:uiPriority w:val="21"/>
    <w:qFormat/>
    <w:rsid w:val="00EA6891"/>
    <w:rPr>
      <w:i/>
      <w:iCs/>
      <w:color w:val="0F4761" w:themeColor="accent1" w:themeShade="BF"/>
    </w:rPr>
  </w:style>
  <w:style w:type="paragraph" w:styleId="Sterktsitat">
    <w:name w:val="Intense Quote"/>
    <w:basedOn w:val="Normal"/>
    <w:next w:val="Normal"/>
    <w:link w:val="SterktsitatTegn"/>
    <w:uiPriority w:val="30"/>
    <w:qFormat/>
    <w:rsid w:val="00EA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A6891"/>
    <w:rPr>
      <w:i/>
      <w:iCs/>
      <w:color w:val="0F4761" w:themeColor="accent1" w:themeShade="BF"/>
    </w:rPr>
  </w:style>
  <w:style w:type="character" w:styleId="Sterkreferanse">
    <w:name w:val="Intense Reference"/>
    <w:basedOn w:val="Standardskriftforavsnitt"/>
    <w:uiPriority w:val="32"/>
    <w:qFormat/>
    <w:rsid w:val="00EA6891"/>
    <w:rPr>
      <w:b/>
      <w:bCs/>
      <w:smallCaps/>
      <w:color w:val="0F4761" w:themeColor="accent1" w:themeShade="BF"/>
      <w:spacing w:val="5"/>
    </w:rPr>
  </w:style>
  <w:style w:type="character" w:styleId="Hyperkobling">
    <w:name w:val="Hyperlink"/>
    <w:basedOn w:val="Standardskriftforavsnitt"/>
    <w:uiPriority w:val="99"/>
    <w:unhideWhenUsed/>
    <w:rsid w:val="00EA6891"/>
    <w:rPr>
      <w:color w:val="467886" w:themeColor="hyperlink"/>
      <w:u w:val="single"/>
    </w:rPr>
  </w:style>
  <w:style w:type="table" w:styleId="Tabellrutenett">
    <w:name w:val="Table Grid"/>
    <w:basedOn w:val="Vanligtabell"/>
    <w:uiPriority w:val="39"/>
    <w:rsid w:val="00E0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7CD"/>
    <w:pPr>
      <w:spacing w:before="100" w:beforeAutospacing="1" w:after="100" w:afterAutospacing="1" w:line="240" w:lineRule="auto"/>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42330">
      <w:bodyDiv w:val="1"/>
      <w:marLeft w:val="0"/>
      <w:marRight w:val="0"/>
      <w:marTop w:val="0"/>
      <w:marBottom w:val="0"/>
      <w:divBdr>
        <w:top w:val="none" w:sz="0" w:space="0" w:color="auto"/>
        <w:left w:val="none" w:sz="0" w:space="0" w:color="auto"/>
        <w:bottom w:val="none" w:sz="0" w:space="0" w:color="auto"/>
        <w:right w:val="none" w:sz="0" w:space="0" w:color="auto"/>
      </w:divBdr>
    </w:div>
    <w:div w:id="1882011344">
      <w:bodyDiv w:val="1"/>
      <w:marLeft w:val="0"/>
      <w:marRight w:val="0"/>
      <w:marTop w:val="0"/>
      <w:marBottom w:val="0"/>
      <w:divBdr>
        <w:top w:val="none" w:sz="0" w:space="0" w:color="auto"/>
        <w:left w:val="none" w:sz="0" w:space="0" w:color="auto"/>
        <w:bottom w:val="none" w:sz="0" w:space="0" w:color="auto"/>
        <w:right w:val="none" w:sz="0" w:space="0" w:color="auto"/>
      </w:divBdr>
      <w:divsChild>
        <w:div w:id="235013943">
          <w:marLeft w:val="0"/>
          <w:marRight w:val="0"/>
          <w:marTop w:val="0"/>
          <w:marBottom w:val="600"/>
          <w:divBdr>
            <w:top w:val="none" w:sz="0" w:space="0" w:color="auto"/>
            <w:left w:val="none" w:sz="0" w:space="0" w:color="auto"/>
            <w:bottom w:val="none" w:sz="0" w:space="0" w:color="auto"/>
            <w:right w:val="none" w:sz="0" w:space="0" w:color="auto"/>
          </w:divBdr>
        </w:div>
        <w:div w:id="1318802556">
          <w:marLeft w:val="0"/>
          <w:marRight w:val="0"/>
          <w:marTop w:val="0"/>
          <w:marBottom w:val="750"/>
          <w:divBdr>
            <w:top w:val="none" w:sz="0" w:space="0" w:color="auto"/>
            <w:left w:val="none" w:sz="0" w:space="0" w:color="auto"/>
            <w:bottom w:val="none" w:sz="0" w:space="0" w:color="auto"/>
            <w:right w:val="none" w:sz="0" w:space="0" w:color="auto"/>
          </w:divBdr>
        </w:div>
        <w:div w:id="13435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hom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eerp.hw.ac.uk/" TargetMode="External"/><Relationship Id="rId4" Type="http://schemas.openxmlformats.org/officeDocument/2006/relationships/webSettings" Target="webSettings.xml"/><Relationship Id="rId9" Type="http://schemas.openxmlformats.org/officeDocument/2006/relationships/hyperlink" Target="https://www.energyinst.org/statistical-review/abou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1114</Words>
  <Characters>5906</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2</cp:revision>
  <dcterms:created xsi:type="dcterms:W3CDTF">2025-09-15T16:45:00Z</dcterms:created>
  <dcterms:modified xsi:type="dcterms:W3CDTF">2025-09-15T17:21:00Z</dcterms:modified>
</cp:coreProperties>
</file>