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6C6B3" w14:textId="77777777" w:rsidR="00AA60C4" w:rsidRPr="00A504A8" w:rsidRDefault="00AA60C4" w:rsidP="00AA60C4">
      <w:pPr>
        <w:rPr>
          <w:rFonts w:ascii="Arial" w:hAnsi="Arial" w:cs="Arial"/>
          <w:b/>
          <w:bCs/>
          <w:sz w:val="40"/>
          <w:szCs w:val="40"/>
        </w:rPr>
      </w:pPr>
      <w:r w:rsidRPr="00A504A8">
        <w:rPr>
          <w:rFonts w:ascii="Arial" w:hAnsi="Arial" w:cs="Arial"/>
          <w:b/>
          <w:bCs/>
          <w:sz w:val="40"/>
          <w:szCs w:val="40"/>
        </w:rPr>
        <w:t>Hvorfor dør biene i USA?</w:t>
      </w:r>
    </w:p>
    <w:p w14:paraId="529DCF7D" w14:textId="24C1933A" w:rsidR="00AA60C4" w:rsidRDefault="00AA60C4" w:rsidP="00AA60C4">
      <w:pPr>
        <w:rPr>
          <w:rFonts w:ascii="Arial" w:hAnsi="Arial" w:cs="Arial"/>
          <w:b/>
          <w:bCs/>
          <w:sz w:val="20"/>
          <w:szCs w:val="20"/>
        </w:rPr>
      </w:pPr>
      <w:r w:rsidRPr="0014424C">
        <w:rPr>
          <w:rFonts w:ascii="Arial" w:hAnsi="Arial" w:cs="Arial"/>
          <w:b/>
          <w:bCs/>
          <w:sz w:val="20"/>
          <w:szCs w:val="20"/>
        </w:rPr>
        <w:t>Av Espen Andre Røinaas, biokjemiker, lektor, 2026</w:t>
      </w:r>
    </w:p>
    <w:p w14:paraId="63AB0E03" w14:textId="77777777" w:rsidR="008B0886" w:rsidRDefault="008B0886" w:rsidP="00AA60C4">
      <w:pPr>
        <w:rPr>
          <w:rFonts w:ascii="Arial" w:hAnsi="Arial" w:cs="Arial"/>
          <w:b/>
          <w:bCs/>
          <w:sz w:val="20"/>
          <w:szCs w:val="20"/>
        </w:rPr>
      </w:pPr>
    </w:p>
    <w:tbl>
      <w:tblPr>
        <w:tblStyle w:val="Tabellrutenett"/>
        <w:tblW w:w="10348" w:type="dxa"/>
        <w:tblInd w:w="-572" w:type="dxa"/>
        <w:tblLook w:val="04A0" w:firstRow="1" w:lastRow="0" w:firstColumn="1" w:lastColumn="0" w:noHBand="0" w:noVBand="1"/>
      </w:tblPr>
      <w:tblGrid>
        <w:gridCol w:w="10348"/>
      </w:tblGrid>
      <w:tr w:rsidR="008B0886" w14:paraId="24133B98" w14:textId="77777777" w:rsidTr="001F1C4B">
        <w:tc>
          <w:tcPr>
            <w:tcW w:w="10348" w:type="dxa"/>
          </w:tcPr>
          <w:p w14:paraId="5081F14F" w14:textId="7DB1C35E" w:rsidR="008B0886" w:rsidRDefault="008B0886" w:rsidP="00AA60C4">
            <w:pPr>
              <w:rPr>
                <w:rFonts w:ascii="Arial" w:hAnsi="Arial" w:cs="Arial"/>
                <w:b/>
                <w:bCs/>
                <w:sz w:val="20"/>
                <w:szCs w:val="20"/>
              </w:rPr>
            </w:pPr>
            <w:r>
              <w:rPr>
                <w:rFonts w:ascii="Arial" w:hAnsi="Arial" w:cs="Arial"/>
                <w:b/>
                <w:bCs/>
                <w:noProof/>
                <w:sz w:val="20"/>
                <w:szCs w:val="20"/>
              </w:rPr>
              <w:drawing>
                <wp:inline distT="0" distB="0" distL="0" distR="0" wp14:anchorId="3F6D2466" wp14:editId="163235C7">
                  <wp:extent cx="6417882" cy="3359150"/>
                  <wp:effectExtent l="0" t="0" r="2540" b="0"/>
                  <wp:docPr id="189208682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6202" cy="3363505"/>
                          </a:xfrm>
                          <a:prstGeom prst="rect">
                            <a:avLst/>
                          </a:prstGeom>
                          <a:noFill/>
                        </pic:spPr>
                      </pic:pic>
                    </a:graphicData>
                  </a:graphic>
                </wp:inline>
              </w:drawing>
            </w:r>
          </w:p>
        </w:tc>
      </w:tr>
      <w:tr w:rsidR="008B0886" w14:paraId="462DFF11" w14:textId="77777777" w:rsidTr="001F1C4B">
        <w:tc>
          <w:tcPr>
            <w:tcW w:w="10348" w:type="dxa"/>
          </w:tcPr>
          <w:p w14:paraId="10E1EC2C" w14:textId="21198216" w:rsidR="008B0886" w:rsidRPr="00096B24" w:rsidRDefault="00096B24" w:rsidP="00AA60C4">
            <w:pPr>
              <w:rPr>
                <w:rFonts w:ascii="Arial" w:hAnsi="Arial" w:cs="Arial"/>
                <w:b/>
                <w:bCs/>
              </w:rPr>
            </w:pPr>
            <w:r w:rsidRPr="00096B24">
              <w:rPr>
                <w:rFonts w:ascii="Arial" w:hAnsi="Arial" w:cs="Arial"/>
                <w:b/>
                <w:bCs/>
              </w:rPr>
              <w:t>Honningbier infisert med varrora-midden.</w:t>
            </w:r>
          </w:p>
        </w:tc>
      </w:tr>
    </w:tbl>
    <w:p w14:paraId="79F1882E" w14:textId="77777777" w:rsidR="00AA60C4" w:rsidRPr="00AA60C4" w:rsidRDefault="00AA60C4" w:rsidP="00AA60C4">
      <w:pPr>
        <w:rPr>
          <w:rFonts w:ascii="Arial" w:hAnsi="Arial" w:cs="Arial"/>
          <w:b/>
          <w:bCs/>
        </w:rPr>
      </w:pPr>
    </w:p>
    <w:p w14:paraId="6E2AD4B8" w14:textId="3A1C034A" w:rsidR="00AA60C4" w:rsidRPr="00AA60C4" w:rsidRDefault="00AA60C4" w:rsidP="00AA60C4">
      <w:pPr>
        <w:rPr>
          <w:rFonts w:ascii="Arial" w:hAnsi="Arial" w:cs="Arial"/>
          <w:b/>
          <w:bCs/>
        </w:rPr>
      </w:pPr>
      <w:r w:rsidRPr="00AA60C4">
        <w:rPr>
          <w:rFonts w:ascii="Arial" w:hAnsi="Arial" w:cs="Arial"/>
          <w:b/>
          <w:bCs/>
        </w:rPr>
        <w:t>USA står midt i den mest alvorlige biedøden som noen gang er registrert i landet. Honningbier er en av de viktigste ressursene i amerikansk landbruk, og verdien av avlinger som er avhengige av bie</w:t>
      </w:r>
      <w:r w:rsidRPr="00AA60C4">
        <w:rPr>
          <w:rFonts w:ascii="Cambria Math" w:hAnsi="Cambria Math" w:cs="Cambria Math"/>
          <w:b/>
          <w:bCs/>
        </w:rPr>
        <w:t>‑</w:t>
      </w:r>
      <w:r w:rsidRPr="00AA60C4">
        <w:rPr>
          <w:rFonts w:ascii="Arial" w:hAnsi="Arial" w:cs="Arial"/>
          <w:b/>
          <w:bCs/>
        </w:rPr>
        <w:t>pollinering, anslås til rundt 20 milliarder dollar årlig. Når biene forsvinner, trues både matsikkerhet, økonomi og økologisk stabilitet.</w:t>
      </w:r>
    </w:p>
    <w:p w14:paraId="4721ABEF" w14:textId="4AAAE3E3" w:rsidR="00AA60C4" w:rsidRDefault="00AA60C4" w:rsidP="00AA60C4">
      <w:pPr>
        <w:rPr>
          <w:rFonts w:ascii="Arial" w:hAnsi="Arial" w:cs="Arial"/>
          <w:b/>
          <w:bCs/>
        </w:rPr>
      </w:pPr>
      <w:r w:rsidRPr="00AA60C4">
        <w:rPr>
          <w:rFonts w:ascii="Arial" w:hAnsi="Arial" w:cs="Arial"/>
          <w:b/>
          <w:bCs/>
        </w:rPr>
        <w:t xml:space="preserve">De siste årene har forskere, birøktere og myndigheter forsøkt å forstå hvorfor så mange kolonier kollapser. Det er nå klart at problemet ikke skyldes én enkelt faktor, men et komplekst samspill mellom parasitter, virus, sprøytemidler, landbrukspraksis, transportstress og naturlige klimavariasjoner. Samtidig peker nye studier på at kombinasjonen av </w:t>
      </w: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midd og virusinfeksjoner er den direkte hovedårsaken til de rekordhøye tapene.</w:t>
      </w:r>
    </w:p>
    <w:p w14:paraId="3D129330" w14:textId="77777777" w:rsidR="00A504A8" w:rsidRPr="00AA60C4" w:rsidRDefault="00A504A8" w:rsidP="00AA60C4">
      <w:pPr>
        <w:rPr>
          <w:rFonts w:ascii="Arial" w:hAnsi="Arial" w:cs="Arial"/>
          <w:b/>
          <w:bCs/>
        </w:rPr>
      </w:pPr>
    </w:p>
    <w:p w14:paraId="71CDC6F7" w14:textId="77777777" w:rsidR="00AA60C4" w:rsidRPr="00A029E1" w:rsidRDefault="00AA60C4" w:rsidP="00AA60C4">
      <w:pPr>
        <w:rPr>
          <w:rFonts w:ascii="Arial" w:hAnsi="Arial" w:cs="Arial"/>
          <w:b/>
          <w:bCs/>
          <w:u w:val="single"/>
        </w:rPr>
      </w:pPr>
      <w:r w:rsidRPr="00A029E1">
        <w:rPr>
          <w:rFonts w:ascii="Arial" w:hAnsi="Arial" w:cs="Arial"/>
          <w:b/>
          <w:bCs/>
          <w:u w:val="single"/>
        </w:rPr>
        <w:t>Rekordhøy dødelighet – to store undersøkelser bekrefter krisen</w:t>
      </w:r>
    </w:p>
    <w:p w14:paraId="6439816F" w14:textId="0C4E2543" w:rsidR="00AA60C4" w:rsidRPr="00AA60C4" w:rsidRDefault="00AA60C4" w:rsidP="00AA60C4">
      <w:pPr>
        <w:rPr>
          <w:rFonts w:ascii="Arial" w:hAnsi="Arial" w:cs="Arial"/>
          <w:b/>
          <w:bCs/>
        </w:rPr>
      </w:pPr>
      <w:r w:rsidRPr="00AA60C4">
        <w:rPr>
          <w:rFonts w:ascii="Arial" w:hAnsi="Arial" w:cs="Arial"/>
          <w:b/>
          <w:bCs/>
        </w:rPr>
        <w:t>Birøktere i USA opplevde katastrofale tap i 2024–2025. To uavhengige undersøkelser viser hvor alvorlig situasjonen er:</w:t>
      </w:r>
    </w:p>
    <w:p w14:paraId="3DAAC2DB" w14:textId="3AEFA7A0" w:rsidR="00AA60C4" w:rsidRPr="0014424C" w:rsidRDefault="00AA60C4" w:rsidP="0014424C">
      <w:pPr>
        <w:pStyle w:val="Listeavsnitt"/>
        <w:numPr>
          <w:ilvl w:val="0"/>
          <w:numId w:val="1"/>
        </w:numPr>
        <w:rPr>
          <w:rFonts w:ascii="Arial" w:hAnsi="Arial" w:cs="Arial"/>
          <w:b/>
          <w:bCs/>
        </w:rPr>
      </w:pPr>
      <w:r w:rsidRPr="0014424C">
        <w:rPr>
          <w:rFonts w:ascii="Arial" w:hAnsi="Arial" w:cs="Arial"/>
          <w:b/>
          <w:bCs/>
        </w:rPr>
        <w:t>Project Apis m. rapporterte at 62 % av de kommersielle koloniene døde mellom juni 2024 og mars 2025.</w:t>
      </w:r>
    </w:p>
    <w:p w14:paraId="7BBAD339" w14:textId="58BBBACD" w:rsidR="00AA60C4" w:rsidRPr="0014424C" w:rsidRDefault="00AA60C4" w:rsidP="00AA60C4">
      <w:pPr>
        <w:pStyle w:val="Listeavsnitt"/>
        <w:numPr>
          <w:ilvl w:val="0"/>
          <w:numId w:val="1"/>
        </w:numPr>
        <w:rPr>
          <w:rFonts w:ascii="Arial" w:hAnsi="Arial" w:cs="Arial"/>
          <w:b/>
          <w:bCs/>
        </w:rPr>
      </w:pPr>
      <w:proofErr w:type="spellStart"/>
      <w:r w:rsidRPr="0014424C">
        <w:rPr>
          <w:rFonts w:ascii="Arial" w:hAnsi="Arial" w:cs="Arial"/>
          <w:b/>
          <w:bCs/>
        </w:rPr>
        <w:lastRenderedPageBreak/>
        <w:t>Apiary</w:t>
      </w:r>
      <w:proofErr w:type="spellEnd"/>
      <w:r w:rsidRPr="0014424C">
        <w:rPr>
          <w:rFonts w:ascii="Arial" w:hAnsi="Arial" w:cs="Arial"/>
          <w:b/>
          <w:bCs/>
        </w:rPr>
        <w:t xml:space="preserve"> </w:t>
      </w:r>
      <w:proofErr w:type="spellStart"/>
      <w:r w:rsidRPr="0014424C">
        <w:rPr>
          <w:rFonts w:ascii="Arial" w:hAnsi="Arial" w:cs="Arial"/>
          <w:b/>
          <w:bCs/>
        </w:rPr>
        <w:t>Inspectors</w:t>
      </w:r>
      <w:proofErr w:type="spellEnd"/>
      <w:r w:rsidRPr="0014424C">
        <w:rPr>
          <w:rFonts w:ascii="Arial" w:hAnsi="Arial" w:cs="Arial"/>
          <w:b/>
          <w:bCs/>
        </w:rPr>
        <w:t xml:space="preserve"> </w:t>
      </w:r>
      <w:proofErr w:type="spellStart"/>
      <w:r w:rsidRPr="0014424C">
        <w:rPr>
          <w:rFonts w:ascii="Arial" w:hAnsi="Arial" w:cs="Arial"/>
          <w:b/>
          <w:bCs/>
        </w:rPr>
        <w:t>of</w:t>
      </w:r>
      <w:proofErr w:type="spellEnd"/>
      <w:r w:rsidRPr="0014424C">
        <w:rPr>
          <w:rFonts w:ascii="Arial" w:hAnsi="Arial" w:cs="Arial"/>
          <w:b/>
          <w:bCs/>
        </w:rPr>
        <w:t xml:space="preserve"> America (AIA) fant at 55,6 % av koloniene døde mellom april 2024 og april 2025 – det høyeste nivået siden registreringene startet i 2010, og 0,5 % over rekorden året før.</w:t>
      </w:r>
    </w:p>
    <w:p w14:paraId="49463A4D" w14:textId="77777777" w:rsidR="00AA60C4" w:rsidRPr="00AA60C4" w:rsidRDefault="00AA60C4" w:rsidP="00AA60C4">
      <w:pPr>
        <w:rPr>
          <w:rFonts w:ascii="Arial" w:hAnsi="Arial" w:cs="Arial"/>
          <w:b/>
          <w:bCs/>
        </w:rPr>
      </w:pPr>
      <w:r w:rsidRPr="00AA60C4">
        <w:rPr>
          <w:rFonts w:ascii="Arial" w:hAnsi="Arial" w:cs="Arial"/>
          <w:b/>
          <w:bCs/>
        </w:rPr>
        <w:t>Vinterdødeligheten var dobbelt så høy som det birøktere tidligere har sett på som akseptabelt. Mange birøktere beskriver situasjonen som økonomisk uholdbar. Honningbier flyttes ofte minst to ganger i året for å pollinere ulike avlinger, og 70 % av alle honningbiene i USA fraktes til California for å pollinere mandeltrær. Dersom birøkterne ikke klarer å opprettholde driften, finnes det ingen reserveplan for pollineringstjenestene som amerikansk matproduksjon er avhengig av.</w:t>
      </w:r>
    </w:p>
    <w:p w14:paraId="26377AE9" w14:textId="77777777" w:rsidR="00AA60C4" w:rsidRPr="00AA60C4" w:rsidRDefault="00AA60C4" w:rsidP="00AA60C4">
      <w:pPr>
        <w:rPr>
          <w:rFonts w:ascii="Arial" w:hAnsi="Arial" w:cs="Arial"/>
          <w:b/>
          <w:bCs/>
        </w:rPr>
      </w:pPr>
    </w:p>
    <w:p w14:paraId="3972F571" w14:textId="77777777" w:rsidR="00AA60C4" w:rsidRDefault="00AA60C4" w:rsidP="00AA60C4">
      <w:pPr>
        <w:rPr>
          <w:rFonts w:ascii="Arial" w:hAnsi="Arial" w:cs="Arial"/>
          <w:b/>
          <w:bCs/>
          <w:u w:val="single"/>
        </w:rPr>
      </w:pPr>
      <w:proofErr w:type="spellStart"/>
      <w:r w:rsidRPr="0014424C">
        <w:rPr>
          <w:rFonts w:ascii="Arial" w:hAnsi="Arial" w:cs="Arial"/>
          <w:b/>
          <w:bCs/>
          <w:u w:val="single"/>
        </w:rPr>
        <w:t>Varroa</w:t>
      </w:r>
      <w:proofErr w:type="spellEnd"/>
      <w:r w:rsidRPr="0014424C">
        <w:rPr>
          <w:rFonts w:ascii="Cambria Math" w:hAnsi="Cambria Math" w:cs="Cambria Math"/>
          <w:b/>
          <w:bCs/>
          <w:u w:val="single"/>
        </w:rPr>
        <w:t>‑</w:t>
      </w:r>
      <w:r w:rsidRPr="0014424C">
        <w:rPr>
          <w:rFonts w:ascii="Arial" w:hAnsi="Arial" w:cs="Arial"/>
          <w:b/>
          <w:bCs/>
          <w:u w:val="single"/>
        </w:rPr>
        <w:t>midden – den største enkelttrusselen</w:t>
      </w:r>
    </w:p>
    <w:tbl>
      <w:tblPr>
        <w:tblStyle w:val="Tabellrutenett"/>
        <w:tblW w:w="0" w:type="auto"/>
        <w:tblLook w:val="04A0" w:firstRow="1" w:lastRow="0" w:firstColumn="1" w:lastColumn="0" w:noHBand="0" w:noVBand="1"/>
      </w:tblPr>
      <w:tblGrid>
        <w:gridCol w:w="9062"/>
      </w:tblGrid>
      <w:tr w:rsidR="00D304B7" w14:paraId="7D25CCD6" w14:textId="77777777" w:rsidTr="00D304B7">
        <w:tc>
          <w:tcPr>
            <w:tcW w:w="9062" w:type="dxa"/>
          </w:tcPr>
          <w:p w14:paraId="1D6314E8" w14:textId="1B768071" w:rsidR="00D304B7" w:rsidRDefault="00096B24" w:rsidP="00D304B7">
            <w:pPr>
              <w:jc w:val="center"/>
              <w:rPr>
                <w:rFonts w:ascii="Arial" w:hAnsi="Arial" w:cs="Arial"/>
                <w:b/>
                <w:bCs/>
                <w:u w:val="single"/>
              </w:rPr>
            </w:pPr>
            <w:r>
              <w:rPr>
                <w:rFonts w:ascii="Arial" w:hAnsi="Arial" w:cs="Arial"/>
                <w:b/>
                <w:bCs/>
                <w:noProof/>
                <w:u w:val="single"/>
              </w:rPr>
              <w:drawing>
                <wp:inline distT="0" distB="0" distL="0" distR="0" wp14:anchorId="195AB630" wp14:editId="1BB575D7">
                  <wp:extent cx="5553710" cy="4011295"/>
                  <wp:effectExtent l="0" t="0" r="8890" b="8255"/>
                  <wp:docPr id="58120954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710" cy="4011295"/>
                          </a:xfrm>
                          <a:prstGeom prst="rect">
                            <a:avLst/>
                          </a:prstGeom>
                          <a:noFill/>
                        </pic:spPr>
                      </pic:pic>
                    </a:graphicData>
                  </a:graphic>
                </wp:inline>
              </w:drawing>
            </w:r>
          </w:p>
        </w:tc>
      </w:tr>
      <w:tr w:rsidR="00D304B7" w14:paraId="0A87816B" w14:textId="77777777" w:rsidTr="00D304B7">
        <w:tc>
          <w:tcPr>
            <w:tcW w:w="9062" w:type="dxa"/>
          </w:tcPr>
          <w:p w14:paraId="2E3035AA" w14:textId="74D57668" w:rsidR="00D304B7" w:rsidRPr="00A44ACA" w:rsidRDefault="00AC503E" w:rsidP="00AC503E">
            <w:pPr>
              <w:rPr>
                <w:rFonts w:ascii="Arial" w:hAnsi="Arial" w:cs="Arial"/>
                <w:b/>
                <w:bCs/>
                <w:u w:val="single"/>
              </w:rPr>
            </w:pPr>
            <w:proofErr w:type="spellStart"/>
            <w:r w:rsidRPr="00A44ACA">
              <w:rPr>
                <w:rFonts w:ascii="Arial" w:hAnsi="Arial" w:cs="Arial"/>
                <w:b/>
                <w:bCs/>
              </w:rPr>
              <w:t>Varroa</w:t>
            </w:r>
            <w:proofErr w:type="spellEnd"/>
            <w:r w:rsidRPr="00A44ACA">
              <w:rPr>
                <w:rFonts w:ascii="Arial" w:hAnsi="Arial" w:cs="Arial"/>
                <w:b/>
                <w:bCs/>
              </w:rPr>
              <w:t xml:space="preserve"> </w:t>
            </w:r>
            <w:proofErr w:type="spellStart"/>
            <w:r w:rsidRPr="00A44ACA">
              <w:rPr>
                <w:rFonts w:ascii="Arial" w:hAnsi="Arial" w:cs="Arial"/>
                <w:b/>
                <w:bCs/>
              </w:rPr>
              <w:t>destructor</w:t>
            </w:r>
            <w:proofErr w:type="spellEnd"/>
            <w:r w:rsidRPr="00A44ACA">
              <w:rPr>
                <w:rFonts w:ascii="Arial" w:hAnsi="Arial" w:cs="Arial"/>
                <w:b/>
                <w:bCs/>
              </w:rPr>
              <w:t xml:space="preserve"> er en parasittisk midd som angriper honningbier og regnes som den største trusselen mot </w:t>
            </w:r>
            <w:proofErr w:type="spellStart"/>
            <w:r w:rsidRPr="00A44ACA">
              <w:rPr>
                <w:rFonts w:ascii="Arial" w:hAnsi="Arial" w:cs="Arial"/>
                <w:b/>
                <w:bCs/>
              </w:rPr>
              <w:t>bikolonier</w:t>
            </w:r>
            <w:proofErr w:type="spellEnd"/>
            <w:r w:rsidRPr="00A44ACA">
              <w:rPr>
                <w:rFonts w:ascii="Arial" w:hAnsi="Arial" w:cs="Arial"/>
                <w:b/>
                <w:bCs/>
              </w:rPr>
              <w:t xml:space="preserve"> i dag. Den suger næring fra bienes fettrike vev og sprer samtidig alvorlige virus som svekker både voksne bier og yngel. Midden er bare rundt 1–1,6 millimeter stor, men gjør enorm skade fordi den formerer seg raskt og kan infisere hele kolonien.</w:t>
            </w:r>
          </w:p>
        </w:tc>
      </w:tr>
    </w:tbl>
    <w:p w14:paraId="426C5B69" w14:textId="77777777" w:rsidR="00D304B7" w:rsidRPr="0014424C" w:rsidRDefault="00D304B7" w:rsidP="00AA60C4">
      <w:pPr>
        <w:rPr>
          <w:rFonts w:ascii="Arial" w:hAnsi="Arial" w:cs="Arial"/>
          <w:b/>
          <w:bCs/>
          <w:u w:val="single"/>
        </w:rPr>
      </w:pPr>
    </w:p>
    <w:p w14:paraId="24025674" w14:textId="1268F24E" w:rsidR="00AA60C4" w:rsidRPr="00AA60C4" w:rsidRDefault="00AA60C4" w:rsidP="00AA60C4">
      <w:pPr>
        <w:rPr>
          <w:rFonts w:ascii="Arial" w:hAnsi="Arial" w:cs="Arial"/>
          <w:b/>
          <w:bCs/>
        </w:rPr>
      </w:pPr>
      <w:r w:rsidRPr="00AA60C4">
        <w:rPr>
          <w:rFonts w:ascii="Arial" w:hAnsi="Arial" w:cs="Arial"/>
          <w:b/>
          <w:bCs/>
        </w:rPr>
        <w:t xml:space="preserve">Den mest alvorlige trusselen mot honningbier i USA er parasitten </w:t>
      </w:r>
      <w:proofErr w:type="spellStart"/>
      <w:r w:rsidRPr="00AA60C4">
        <w:rPr>
          <w:rFonts w:ascii="Arial" w:hAnsi="Arial" w:cs="Arial"/>
          <w:b/>
          <w:bCs/>
        </w:rPr>
        <w:t>Varroa</w:t>
      </w:r>
      <w:proofErr w:type="spellEnd"/>
      <w:r w:rsidRPr="00AA60C4">
        <w:rPr>
          <w:rFonts w:ascii="Arial" w:hAnsi="Arial" w:cs="Arial"/>
          <w:b/>
          <w:bCs/>
        </w:rPr>
        <w:t xml:space="preserve"> </w:t>
      </w:r>
      <w:proofErr w:type="spellStart"/>
      <w:r w:rsidRPr="00AA60C4">
        <w:rPr>
          <w:rFonts w:ascii="Arial" w:hAnsi="Arial" w:cs="Arial"/>
          <w:b/>
          <w:bCs/>
        </w:rPr>
        <w:t>destructor</w:t>
      </w:r>
      <w:proofErr w:type="spellEnd"/>
      <w:r w:rsidRPr="00AA60C4">
        <w:rPr>
          <w:rFonts w:ascii="Arial" w:hAnsi="Arial" w:cs="Arial"/>
          <w:b/>
          <w:bCs/>
        </w:rPr>
        <w:t xml:space="preserve">. Dette er en liten, rødbrun midd som lever på biene og svekker dem ved å suge </w:t>
      </w:r>
      <w:proofErr w:type="spellStart"/>
      <w:r w:rsidRPr="00AA60C4">
        <w:rPr>
          <w:rFonts w:ascii="Arial" w:hAnsi="Arial" w:cs="Arial"/>
          <w:b/>
          <w:bCs/>
        </w:rPr>
        <w:t>hemolymfe</w:t>
      </w:r>
      <w:proofErr w:type="spellEnd"/>
      <w:r w:rsidRPr="00AA60C4">
        <w:rPr>
          <w:rFonts w:ascii="Arial" w:hAnsi="Arial" w:cs="Arial"/>
          <w:b/>
          <w:bCs/>
        </w:rPr>
        <w:t xml:space="preserve">, bienes «blod». USDA </w:t>
      </w:r>
      <w:r w:rsidR="003F14C0">
        <w:rPr>
          <w:rFonts w:ascii="Arial" w:hAnsi="Arial" w:cs="Arial"/>
          <w:b/>
          <w:bCs/>
        </w:rPr>
        <w:t>(</w:t>
      </w:r>
      <w:r w:rsidR="003F14C0" w:rsidRPr="003F14C0">
        <w:rPr>
          <w:rFonts w:ascii="Arial" w:hAnsi="Arial" w:cs="Arial"/>
          <w:b/>
          <w:bCs/>
        </w:rPr>
        <w:t xml:space="preserve">United States Department </w:t>
      </w:r>
      <w:proofErr w:type="spellStart"/>
      <w:r w:rsidR="003F14C0" w:rsidRPr="003F14C0">
        <w:rPr>
          <w:rFonts w:ascii="Arial" w:hAnsi="Arial" w:cs="Arial"/>
          <w:b/>
          <w:bCs/>
        </w:rPr>
        <w:t>of</w:t>
      </w:r>
      <w:proofErr w:type="spellEnd"/>
      <w:r w:rsidR="003F14C0" w:rsidRPr="003F14C0">
        <w:rPr>
          <w:rFonts w:ascii="Arial" w:hAnsi="Arial" w:cs="Arial"/>
          <w:b/>
          <w:bCs/>
        </w:rPr>
        <w:t xml:space="preserve"> </w:t>
      </w:r>
      <w:proofErr w:type="spellStart"/>
      <w:r w:rsidR="003F14C0" w:rsidRPr="003F14C0">
        <w:rPr>
          <w:rFonts w:ascii="Arial" w:hAnsi="Arial" w:cs="Arial"/>
          <w:b/>
          <w:bCs/>
        </w:rPr>
        <w:lastRenderedPageBreak/>
        <w:t>Agriculture</w:t>
      </w:r>
      <w:proofErr w:type="spellEnd"/>
      <w:r w:rsidR="003F14C0">
        <w:rPr>
          <w:rFonts w:ascii="Arial" w:hAnsi="Arial" w:cs="Arial"/>
          <w:b/>
          <w:bCs/>
        </w:rPr>
        <w:t>)</w:t>
      </w:r>
      <w:r w:rsidR="003F14C0" w:rsidRPr="003F14C0">
        <w:rPr>
          <w:rFonts w:ascii="Arial" w:hAnsi="Arial" w:cs="Arial"/>
          <w:b/>
          <w:bCs/>
        </w:rPr>
        <w:t xml:space="preserve"> </w:t>
      </w:r>
      <w:r w:rsidRPr="00AA60C4">
        <w:rPr>
          <w:rFonts w:ascii="Arial" w:hAnsi="Arial" w:cs="Arial"/>
          <w:b/>
          <w:bCs/>
        </w:rPr>
        <w:t xml:space="preserve">beskriver </w:t>
      </w: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midden som «den mest ødeleggende parasitten for honningbier i verden».</w:t>
      </w:r>
    </w:p>
    <w:p w14:paraId="17C28C35" w14:textId="5E346454" w:rsidR="00AA60C4" w:rsidRPr="00AA60C4" w:rsidRDefault="00AA60C4" w:rsidP="00AA60C4">
      <w:pPr>
        <w:rPr>
          <w:rFonts w:ascii="Arial" w:hAnsi="Arial" w:cs="Arial"/>
          <w:b/>
          <w:bCs/>
        </w:rPr>
      </w:pPr>
      <w:r w:rsidRPr="00AA60C4">
        <w:rPr>
          <w:rFonts w:ascii="Arial" w:hAnsi="Arial" w:cs="Arial"/>
          <w:b/>
          <w:bCs/>
        </w:rPr>
        <w:t>Når midden etablerer seg i en kube, faller bienes immunforsvar, og kolonien blir langt mer sårbar for kulde, sult og sykdom. I tillegg formerer midden seg raskt, og i mange amerikanske stater har den utviklet resistens mot flere av de vanligste bekjempelsesmidlene.</w:t>
      </w:r>
    </w:p>
    <w:p w14:paraId="1D899410" w14:textId="77777777" w:rsidR="00AA60C4" w:rsidRPr="00AA60C4" w:rsidRDefault="00AA60C4" w:rsidP="00AA60C4">
      <w:pPr>
        <w:rPr>
          <w:rFonts w:ascii="Arial" w:hAnsi="Arial" w:cs="Arial"/>
          <w:b/>
          <w:bCs/>
        </w:rPr>
      </w:pPr>
      <w:r w:rsidRPr="00AA60C4">
        <w:rPr>
          <w:rFonts w:ascii="Arial" w:hAnsi="Arial" w:cs="Arial"/>
          <w:b/>
          <w:bCs/>
        </w:rPr>
        <w:t>Den nye USDA</w:t>
      </w:r>
      <w:r w:rsidRPr="00AA60C4">
        <w:rPr>
          <w:rFonts w:ascii="Cambria Math" w:hAnsi="Cambria Math" w:cs="Cambria Math"/>
          <w:b/>
          <w:bCs/>
        </w:rPr>
        <w:t>‑</w:t>
      </w:r>
      <w:r w:rsidRPr="00AA60C4">
        <w:rPr>
          <w:rFonts w:ascii="Arial" w:hAnsi="Arial" w:cs="Arial"/>
          <w:b/>
          <w:bCs/>
        </w:rPr>
        <w:t xml:space="preserve">studien viser noe enda mer dramatisk: all </w:t>
      </w: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 xml:space="preserve">midd som ble testet, var resistent mot </w:t>
      </w:r>
      <w:proofErr w:type="spellStart"/>
      <w:r w:rsidRPr="00AA60C4">
        <w:rPr>
          <w:rFonts w:ascii="Arial" w:hAnsi="Arial" w:cs="Arial"/>
          <w:b/>
          <w:bCs/>
        </w:rPr>
        <w:t>amitraz</w:t>
      </w:r>
      <w:proofErr w:type="spellEnd"/>
      <w:r w:rsidRPr="00AA60C4">
        <w:rPr>
          <w:rFonts w:ascii="Arial" w:hAnsi="Arial" w:cs="Arial"/>
          <w:b/>
          <w:bCs/>
        </w:rPr>
        <w:t xml:space="preserve">, det siste virkelig effektive kjemiske middelet birøkterne hadde igjen. </w:t>
      </w:r>
      <w:proofErr w:type="spellStart"/>
      <w:r w:rsidRPr="00AA60C4">
        <w:rPr>
          <w:rFonts w:ascii="Arial" w:hAnsi="Arial" w:cs="Arial"/>
          <w:b/>
          <w:bCs/>
        </w:rPr>
        <w:t>Varroa</w:t>
      </w:r>
      <w:proofErr w:type="spellEnd"/>
      <w:r w:rsidRPr="00AA60C4">
        <w:rPr>
          <w:rFonts w:ascii="Arial" w:hAnsi="Arial" w:cs="Arial"/>
          <w:b/>
          <w:bCs/>
        </w:rPr>
        <w:t xml:space="preserve"> er allerede resistent mot fire andre store klasser av midler. Forskerne advarer om at denne resistensen kan destabilisere hele birøkten i USA dersom nye strategier ikke utvikles raskt.</w:t>
      </w:r>
    </w:p>
    <w:p w14:paraId="4201F63D" w14:textId="77777777" w:rsidR="00AA60C4" w:rsidRPr="00AA60C4" w:rsidRDefault="00AA60C4" w:rsidP="00AA60C4">
      <w:pPr>
        <w:rPr>
          <w:rFonts w:ascii="Arial" w:hAnsi="Arial" w:cs="Arial"/>
          <w:b/>
          <w:bCs/>
        </w:rPr>
      </w:pPr>
    </w:p>
    <w:p w14:paraId="6050667D" w14:textId="77777777" w:rsidR="00AA60C4" w:rsidRPr="0014424C" w:rsidRDefault="00AA60C4" w:rsidP="00AA60C4">
      <w:pPr>
        <w:rPr>
          <w:rFonts w:ascii="Arial" w:hAnsi="Arial" w:cs="Arial"/>
          <w:b/>
          <w:bCs/>
          <w:u w:val="single"/>
        </w:rPr>
      </w:pPr>
      <w:r w:rsidRPr="0014424C">
        <w:rPr>
          <w:rFonts w:ascii="Arial" w:hAnsi="Arial" w:cs="Arial"/>
          <w:b/>
          <w:bCs/>
          <w:u w:val="single"/>
        </w:rPr>
        <w:t>Virus som følger i kjølvannet av midden</w:t>
      </w:r>
    </w:p>
    <w:p w14:paraId="3B5AB191" w14:textId="14274470" w:rsidR="00AA60C4" w:rsidRPr="00AA60C4" w:rsidRDefault="00AA60C4" w:rsidP="00AA60C4">
      <w:pPr>
        <w:rPr>
          <w:rFonts w:ascii="Arial" w:hAnsi="Arial" w:cs="Arial"/>
          <w:b/>
          <w:bCs/>
        </w:rPr>
      </w:pP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midden fungerer ikke bare som en parasitt, men også som en effektiv smittespreder. Den overfører flere alvorlige virus som ytterligere svekker biene. I den nye studien fant forskerne uvanlig høye nivåer av:</w:t>
      </w:r>
    </w:p>
    <w:p w14:paraId="36E9325C" w14:textId="69B657A7" w:rsidR="00AA60C4" w:rsidRPr="0014424C" w:rsidRDefault="00AA60C4" w:rsidP="0014424C">
      <w:pPr>
        <w:pStyle w:val="Listeavsnitt"/>
        <w:numPr>
          <w:ilvl w:val="0"/>
          <w:numId w:val="2"/>
        </w:numPr>
        <w:rPr>
          <w:rFonts w:ascii="Arial" w:hAnsi="Arial" w:cs="Arial"/>
          <w:b/>
          <w:bCs/>
        </w:rPr>
      </w:pPr>
      <w:proofErr w:type="spellStart"/>
      <w:r w:rsidRPr="0014424C">
        <w:rPr>
          <w:rFonts w:ascii="Arial" w:hAnsi="Arial" w:cs="Arial"/>
          <w:b/>
          <w:bCs/>
        </w:rPr>
        <w:t>Deformed</w:t>
      </w:r>
      <w:proofErr w:type="spellEnd"/>
      <w:r w:rsidRPr="0014424C">
        <w:rPr>
          <w:rFonts w:ascii="Arial" w:hAnsi="Arial" w:cs="Arial"/>
          <w:b/>
          <w:bCs/>
        </w:rPr>
        <w:t xml:space="preserve"> </w:t>
      </w:r>
      <w:proofErr w:type="spellStart"/>
      <w:r w:rsidRPr="0014424C">
        <w:rPr>
          <w:rFonts w:ascii="Arial" w:hAnsi="Arial" w:cs="Arial"/>
          <w:b/>
          <w:bCs/>
        </w:rPr>
        <w:t>Wing</w:t>
      </w:r>
      <w:proofErr w:type="spellEnd"/>
      <w:r w:rsidRPr="0014424C">
        <w:rPr>
          <w:rFonts w:ascii="Arial" w:hAnsi="Arial" w:cs="Arial"/>
          <w:b/>
          <w:bCs/>
        </w:rPr>
        <w:t xml:space="preserve"> Virus (DWV) – gir krøllete, ubrukelige vinger</w:t>
      </w:r>
    </w:p>
    <w:p w14:paraId="79C519DE" w14:textId="498F71E5" w:rsidR="00AA60C4" w:rsidRPr="0014424C" w:rsidRDefault="00AA60C4" w:rsidP="0014424C">
      <w:pPr>
        <w:pStyle w:val="Listeavsnitt"/>
        <w:numPr>
          <w:ilvl w:val="0"/>
          <w:numId w:val="2"/>
        </w:numPr>
        <w:rPr>
          <w:rFonts w:ascii="Arial" w:hAnsi="Arial" w:cs="Arial"/>
          <w:b/>
          <w:bCs/>
        </w:rPr>
      </w:pPr>
      <w:proofErr w:type="spellStart"/>
      <w:r w:rsidRPr="0014424C">
        <w:rPr>
          <w:rFonts w:ascii="Arial" w:hAnsi="Arial" w:cs="Arial"/>
          <w:b/>
          <w:bCs/>
        </w:rPr>
        <w:t>Acute</w:t>
      </w:r>
      <w:proofErr w:type="spellEnd"/>
      <w:r w:rsidRPr="0014424C">
        <w:rPr>
          <w:rFonts w:ascii="Arial" w:hAnsi="Arial" w:cs="Arial"/>
          <w:b/>
          <w:bCs/>
        </w:rPr>
        <w:t xml:space="preserve"> Bee </w:t>
      </w:r>
      <w:proofErr w:type="spellStart"/>
      <w:r w:rsidRPr="0014424C">
        <w:rPr>
          <w:rFonts w:ascii="Arial" w:hAnsi="Arial" w:cs="Arial"/>
          <w:b/>
          <w:bCs/>
        </w:rPr>
        <w:t>Paralysis</w:t>
      </w:r>
      <w:proofErr w:type="spellEnd"/>
      <w:r w:rsidRPr="0014424C">
        <w:rPr>
          <w:rFonts w:ascii="Arial" w:hAnsi="Arial" w:cs="Arial"/>
          <w:b/>
          <w:bCs/>
        </w:rPr>
        <w:t xml:space="preserve"> Virus (ABPV) – lammer biene</w:t>
      </w:r>
    </w:p>
    <w:p w14:paraId="1D024C1F" w14:textId="0229B7CD" w:rsidR="00AA60C4" w:rsidRPr="0014424C" w:rsidRDefault="00AA60C4" w:rsidP="0014424C">
      <w:pPr>
        <w:pStyle w:val="Listeavsnitt"/>
        <w:numPr>
          <w:ilvl w:val="0"/>
          <w:numId w:val="2"/>
        </w:numPr>
        <w:rPr>
          <w:rFonts w:ascii="Arial" w:hAnsi="Arial" w:cs="Arial"/>
          <w:b/>
          <w:bCs/>
          <w:lang w:val="en-GB"/>
        </w:rPr>
      </w:pPr>
      <w:r w:rsidRPr="0014424C">
        <w:rPr>
          <w:rFonts w:ascii="Arial" w:hAnsi="Arial" w:cs="Arial"/>
          <w:b/>
          <w:bCs/>
          <w:lang w:val="en-GB"/>
        </w:rPr>
        <w:t xml:space="preserve">Black Queen Cell Virus – </w:t>
      </w:r>
      <w:proofErr w:type="spellStart"/>
      <w:r w:rsidRPr="0014424C">
        <w:rPr>
          <w:rFonts w:ascii="Arial" w:hAnsi="Arial" w:cs="Arial"/>
          <w:b/>
          <w:bCs/>
          <w:lang w:val="en-GB"/>
        </w:rPr>
        <w:t>dreper</w:t>
      </w:r>
      <w:proofErr w:type="spellEnd"/>
      <w:r w:rsidRPr="0014424C">
        <w:rPr>
          <w:rFonts w:ascii="Arial" w:hAnsi="Arial" w:cs="Arial"/>
          <w:b/>
          <w:bCs/>
          <w:lang w:val="en-GB"/>
        </w:rPr>
        <w:t xml:space="preserve"> </w:t>
      </w:r>
      <w:proofErr w:type="spellStart"/>
      <w:r w:rsidRPr="0014424C">
        <w:rPr>
          <w:rFonts w:ascii="Arial" w:hAnsi="Arial" w:cs="Arial"/>
          <w:b/>
          <w:bCs/>
          <w:lang w:val="en-GB"/>
        </w:rPr>
        <w:t>dronninglarver</w:t>
      </w:r>
      <w:proofErr w:type="spellEnd"/>
    </w:p>
    <w:p w14:paraId="3501B3B3" w14:textId="5D9400CE" w:rsidR="00AA60C4" w:rsidRPr="00AA60C4" w:rsidRDefault="00AA60C4" w:rsidP="00AA60C4">
      <w:pPr>
        <w:rPr>
          <w:rFonts w:ascii="Arial" w:hAnsi="Arial" w:cs="Arial"/>
          <w:b/>
          <w:bCs/>
        </w:rPr>
      </w:pPr>
      <w:r w:rsidRPr="00AA60C4">
        <w:rPr>
          <w:rFonts w:ascii="Arial" w:hAnsi="Arial" w:cs="Arial"/>
          <w:b/>
          <w:bCs/>
        </w:rPr>
        <w:t>Et viktig funn er at virusnivåene var like høye i både sterke og svake kolonier. Det betyr at kolonier kan se friske ut, men likevel være på randen av kollaps. Når slike virus sprer seg samtidig som midden suger næring fra biene, svekkes kolonien raskt, og mange kuber kollapser før vinteren.</w:t>
      </w:r>
    </w:p>
    <w:p w14:paraId="0D3EF913" w14:textId="40993069" w:rsidR="00AA60C4" w:rsidRPr="00AA60C4" w:rsidRDefault="00AA60C4" w:rsidP="00AA60C4">
      <w:pPr>
        <w:rPr>
          <w:rFonts w:ascii="Arial" w:hAnsi="Arial" w:cs="Arial"/>
          <w:b/>
          <w:bCs/>
        </w:rPr>
      </w:pPr>
      <w:r w:rsidRPr="00AA60C4">
        <w:rPr>
          <w:rFonts w:ascii="Arial" w:hAnsi="Arial" w:cs="Arial"/>
          <w:b/>
          <w:bCs/>
        </w:rPr>
        <w:t xml:space="preserve">Forskerne samlet inn bier og prøver fra 113 kolonier fra seks store birøktervirksomheter i februar 2025, rett før </w:t>
      </w:r>
      <w:proofErr w:type="spellStart"/>
      <w:r w:rsidRPr="00AA60C4">
        <w:rPr>
          <w:rFonts w:ascii="Arial" w:hAnsi="Arial" w:cs="Arial"/>
          <w:b/>
          <w:bCs/>
        </w:rPr>
        <w:t>mandelpollineringen</w:t>
      </w:r>
      <w:proofErr w:type="spellEnd"/>
      <w:r w:rsidRPr="00AA60C4">
        <w:rPr>
          <w:rFonts w:ascii="Arial" w:hAnsi="Arial" w:cs="Arial"/>
          <w:b/>
          <w:bCs/>
        </w:rPr>
        <w:t>. De tok prøver fra:</w:t>
      </w:r>
    </w:p>
    <w:p w14:paraId="6A11D4EF" w14:textId="74B3E155" w:rsidR="00AA60C4" w:rsidRPr="0014424C" w:rsidRDefault="00AA60C4" w:rsidP="00AA60C4">
      <w:pPr>
        <w:pStyle w:val="Listeavsnitt"/>
        <w:numPr>
          <w:ilvl w:val="0"/>
          <w:numId w:val="3"/>
        </w:numPr>
        <w:rPr>
          <w:rFonts w:ascii="Arial" w:hAnsi="Arial" w:cs="Arial"/>
          <w:b/>
          <w:bCs/>
        </w:rPr>
      </w:pPr>
      <w:r w:rsidRPr="0014424C">
        <w:rPr>
          <w:rFonts w:ascii="Arial" w:hAnsi="Arial" w:cs="Arial"/>
          <w:b/>
          <w:bCs/>
        </w:rPr>
        <w:t>sterke kolonier</w:t>
      </w:r>
    </w:p>
    <w:p w14:paraId="558D3F28" w14:textId="5FFFDF42" w:rsidR="00AA60C4" w:rsidRPr="0014424C" w:rsidRDefault="00AA60C4" w:rsidP="00AA60C4">
      <w:pPr>
        <w:pStyle w:val="Listeavsnitt"/>
        <w:numPr>
          <w:ilvl w:val="0"/>
          <w:numId w:val="3"/>
        </w:numPr>
        <w:rPr>
          <w:rFonts w:ascii="Arial" w:hAnsi="Arial" w:cs="Arial"/>
          <w:b/>
          <w:bCs/>
        </w:rPr>
      </w:pPr>
      <w:r w:rsidRPr="0014424C">
        <w:rPr>
          <w:rFonts w:ascii="Arial" w:hAnsi="Arial" w:cs="Arial"/>
          <w:b/>
          <w:bCs/>
        </w:rPr>
        <w:t>svekkede kolonier</w:t>
      </w:r>
    </w:p>
    <w:p w14:paraId="346C7AA8" w14:textId="53EEAC45" w:rsidR="00AA60C4" w:rsidRPr="0014424C" w:rsidRDefault="00AA60C4" w:rsidP="00AA60C4">
      <w:pPr>
        <w:pStyle w:val="Listeavsnitt"/>
        <w:numPr>
          <w:ilvl w:val="0"/>
          <w:numId w:val="3"/>
        </w:numPr>
        <w:rPr>
          <w:rFonts w:ascii="Arial" w:hAnsi="Arial" w:cs="Arial"/>
          <w:b/>
          <w:bCs/>
        </w:rPr>
      </w:pPr>
      <w:r w:rsidRPr="0014424C">
        <w:rPr>
          <w:rFonts w:ascii="Arial" w:hAnsi="Arial" w:cs="Arial"/>
          <w:b/>
          <w:bCs/>
        </w:rPr>
        <w:t>syke og døende bier som lå foran kubene</w:t>
      </w:r>
    </w:p>
    <w:p w14:paraId="40AA3E45" w14:textId="43BF0787" w:rsidR="00AA60C4" w:rsidRPr="00AA60C4" w:rsidRDefault="00AA60C4" w:rsidP="00AA60C4">
      <w:pPr>
        <w:rPr>
          <w:rFonts w:ascii="Arial" w:hAnsi="Arial" w:cs="Arial"/>
          <w:b/>
          <w:bCs/>
        </w:rPr>
      </w:pPr>
      <w:r w:rsidRPr="00AA60C4">
        <w:rPr>
          <w:rFonts w:ascii="Arial" w:hAnsi="Arial" w:cs="Arial"/>
          <w:b/>
          <w:bCs/>
        </w:rPr>
        <w:t xml:space="preserve">Dette gir studien høy troverdighet, fordi både friske og syke kolonier ble undersøkt systematisk. Resultatene viser et tydelig mønster: virus + </w:t>
      </w:r>
      <w:proofErr w:type="spellStart"/>
      <w:r w:rsidRPr="00AA60C4">
        <w:rPr>
          <w:rFonts w:ascii="Arial" w:hAnsi="Arial" w:cs="Arial"/>
          <w:b/>
          <w:bCs/>
        </w:rPr>
        <w:t>Varroa</w:t>
      </w:r>
      <w:proofErr w:type="spellEnd"/>
      <w:r w:rsidRPr="00AA60C4">
        <w:rPr>
          <w:rFonts w:ascii="Arial" w:hAnsi="Arial" w:cs="Arial"/>
          <w:b/>
          <w:bCs/>
        </w:rPr>
        <w:t xml:space="preserve"> = kollaps.</w:t>
      </w:r>
    </w:p>
    <w:p w14:paraId="5E23C298" w14:textId="77777777" w:rsidR="00AA60C4" w:rsidRDefault="00AA60C4" w:rsidP="00AA60C4">
      <w:pPr>
        <w:rPr>
          <w:rFonts w:ascii="Arial" w:hAnsi="Arial" w:cs="Arial"/>
          <w:b/>
          <w:bCs/>
        </w:rPr>
      </w:pPr>
    </w:p>
    <w:p w14:paraId="4C230674" w14:textId="77777777" w:rsidR="00A504A8" w:rsidRDefault="00A504A8" w:rsidP="00AA60C4">
      <w:pPr>
        <w:rPr>
          <w:rFonts w:ascii="Arial" w:hAnsi="Arial" w:cs="Arial"/>
          <w:b/>
          <w:bCs/>
        </w:rPr>
      </w:pPr>
    </w:p>
    <w:p w14:paraId="0D6224EE" w14:textId="77777777" w:rsidR="00A504A8" w:rsidRDefault="00A504A8" w:rsidP="00AA60C4">
      <w:pPr>
        <w:rPr>
          <w:rFonts w:ascii="Arial" w:hAnsi="Arial" w:cs="Arial"/>
          <w:b/>
          <w:bCs/>
        </w:rPr>
      </w:pPr>
    </w:p>
    <w:p w14:paraId="7D2FCA7A" w14:textId="77777777" w:rsidR="00A504A8" w:rsidRPr="00AA60C4" w:rsidRDefault="00A504A8" w:rsidP="00AA60C4">
      <w:pPr>
        <w:rPr>
          <w:rFonts w:ascii="Arial" w:hAnsi="Arial" w:cs="Arial"/>
          <w:b/>
          <w:bCs/>
        </w:rPr>
      </w:pPr>
    </w:p>
    <w:p w14:paraId="1CED1FC8" w14:textId="77777777" w:rsidR="00AA60C4" w:rsidRPr="0014424C" w:rsidRDefault="00AA60C4" w:rsidP="00AA60C4">
      <w:pPr>
        <w:rPr>
          <w:rFonts w:ascii="Arial" w:hAnsi="Arial" w:cs="Arial"/>
          <w:b/>
          <w:bCs/>
          <w:u w:val="single"/>
        </w:rPr>
      </w:pPr>
      <w:r w:rsidRPr="0014424C">
        <w:rPr>
          <w:rFonts w:ascii="Arial" w:hAnsi="Arial" w:cs="Arial"/>
          <w:b/>
          <w:bCs/>
          <w:u w:val="single"/>
        </w:rPr>
        <w:lastRenderedPageBreak/>
        <w:t>Monokulturer og ensidig ernæring</w:t>
      </w:r>
    </w:p>
    <w:tbl>
      <w:tblPr>
        <w:tblStyle w:val="Tabellrutenett"/>
        <w:tblW w:w="0" w:type="auto"/>
        <w:tblLook w:val="04A0" w:firstRow="1" w:lastRow="0" w:firstColumn="1" w:lastColumn="0" w:noHBand="0" w:noVBand="1"/>
      </w:tblPr>
      <w:tblGrid>
        <w:gridCol w:w="9062"/>
      </w:tblGrid>
      <w:tr w:rsidR="00F37B06" w14:paraId="35E6BBDA" w14:textId="77777777" w:rsidTr="00F37B06">
        <w:tc>
          <w:tcPr>
            <w:tcW w:w="9062" w:type="dxa"/>
          </w:tcPr>
          <w:p w14:paraId="1D99F207" w14:textId="0A4F15CB" w:rsidR="00F37B06" w:rsidRDefault="00F37B06" w:rsidP="00F37B06">
            <w:pPr>
              <w:jc w:val="center"/>
              <w:rPr>
                <w:rFonts w:ascii="Arial" w:hAnsi="Arial" w:cs="Arial"/>
                <w:b/>
                <w:bCs/>
              </w:rPr>
            </w:pPr>
            <w:r>
              <w:rPr>
                <w:rFonts w:ascii="Arial" w:hAnsi="Arial" w:cs="Arial"/>
                <w:b/>
                <w:bCs/>
                <w:noProof/>
              </w:rPr>
              <w:drawing>
                <wp:inline distT="0" distB="0" distL="0" distR="0" wp14:anchorId="76757047" wp14:editId="1E89BD8A">
                  <wp:extent cx="5619752" cy="3746500"/>
                  <wp:effectExtent l="0" t="0" r="0" b="6350"/>
                  <wp:docPr id="98128880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5" cy="3746502"/>
                          </a:xfrm>
                          <a:prstGeom prst="rect">
                            <a:avLst/>
                          </a:prstGeom>
                          <a:noFill/>
                        </pic:spPr>
                      </pic:pic>
                    </a:graphicData>
                  </a:graphic>
                </wp:inline>
              </w:drawing>
            </w:r>
          </w:p>
        </w:tc>
      </w:tr>
      <w:tr w:rsidR="00F37B06" w14:paraId="6BA72DC6" w14:textId="77777777" w:rsidTr="00F37B06">
        <w:tc>
          <w:tcPr>
            <w:tcW w:w="9062" w:type="dxa"/>
          </w:tcPr>
          <w:p w14:paraId="6FC174B5" w14:textId="5540B185" w:rsidR="00F37B06" w:rsidRDefault="00D17737" w:rsidP="00AA60C4">
            <w:pPr>
              <w:rPr>
                <w:rFonts w:ascii="Arial" w:hAnsi="Arial" w:cs="Arial"/>
                <w:b/>
                <w:bCs/>
              </w:rPr>
            </w:pPr>
            <w:r w:rsidRPr="00D17737">
              <w:rPr>
                <w:rFonts w:ascii="Arial" w:hAnsi="Arial" w:cs="Arial"/>
                <w:b/>
                <w:bCs/>
              </w:rPr>
              <w:t xml:space="preserve">Store sammenhengende </w:t>
            </w:r>
            <w:proofErr w:type="spellStart"/>
            <w:r w:rsidRPr="00D17737">
              <w:rPr>
                <w:rFonts w:ascii="Arial" w:hAnsi="Arial" w:cs="Arial"/>
                <w:b/>
                <w:bCs/>
              </w:rPr>
              <w:t>maisåkre</w:t>
            </w:r>
            <w:proofErr w:type="spellEnd"/>
            <w:r w:rsidRPr="00D17737">
              <w:rPr>
                <w:rFonts w:ascii="Arial" w:hAnsi="Arial" w:cs="Arial"/>
                <w:b/>
                <w:bCs/>
              </w:rPr>
              <w:t xml:space="preserve"> som dette viser typisk monokultur, der én enkelt vekst dominerer landskapet og gir lite variasjon for </w:t>
            </w:r>
            <w:proofErr w:type="spellStart"/>
            <w:r w:rsidRPr="00D17737">
              <w:rPr>
                <w:rFonts w:ascii="Arial" w:hAnsi="Arial" w:cs="Arial"/>
                <w:b/>
                <w:bCs/>
              </w:rPr>
              <w:t>pollinatorer</w:t>
            </w:r>
            <w:proofErr w:type="spellEnd"/>
            <w:r w:rsidRPr="00D17737">
              <w:rPr>
                <w:rFonts w:ascii="Arial" w:hAnsi="Arial" w:cs="Arial"/>
                <w:b/>
                <w:bCs/>
              </w:rPr>
              <w:t xml:space="preserve"> og andre arter.</w:t>
            </w:r>
          </w:p>
        </w:tc>
      </w:tr>
    </w:tbl>
    <w:p w14:paraId="08FB09EC" w14:textId="77777777" w:rsidR="00F37B06" w:rsidRDefault="00F37B06" w:rsidP="00AA60C4">
      <w:pPr>
        <w:rPr>
          <w:rFonts w:ascii="Arial" w:hAnsi="Arial" w:cs="Arial"/>
          <w:b/>
          <w:bCs/>
        </w:rPr>
      </w:pPr>
    </w:p>
    <w:p w14:paraId="377DEDC4" w14:textId="5D9A7157" w:rsidR="00AA60C4" w:rsidRPr="00AA60C4" w:rsidRDefault="00AA60C4" w:rsidP="00AA60C4">
      <w:pPr>
        <w:rPr>
          <w:rFonts w:ascii="Arial" w:hAnsi="Arial" w:cs="Arial"/>
          <w:b/>
          <w:bCs/>
        </w:rPr>
      </w:pPr>
      <w:r w:rsidRPr="00AA60C4">
        <w:rPr>
          <w:rFonts w:ascii="Arial" w:hAnsi="Arial" w:cs="Arial"/>
          <w:b/>
          <w:bCs/>
        </w:rPr>
        <w:t>Moderne amerikansk landbruk består ofte av enorme monokulturer, som mandler i California, mais i Midtvesten og soyabønner i sørstatene. For biene betyr dette et svært ensidig kosthold. Selv om slike avlinger kan gi mye pollen i korte perioder, mangler de mange av næringsstoffene biene trenger for å holde immunforsvaret sterkt.</w:t>
      </w:r>
    </w:p>
    <w:p w14:paraId="751737AA" w14:textId="77777777" w:rsidR="00AA60C4" w:rsidRPr="00AA60C4" w:rsidRDefault="00AA60C4" w:rsidP="00AA60C4">
      <w:pPr>
        <w:rPr>
          <w:rFonts w:ascii="Arial" w:hAnsi="Arial" w:cs="Arial"/>
          <w:b/>
          <w:bCs/>
        </w:rPr>
      </w:pPr>
      <w:r w:rsidRPr="00AA60C4">
        <w:rPr>
          <w:rFonts w:ascii="Arial" w:hAnsi="Arial" w:cs="Arial"/>
          <w:b/>
          <w:bCs/>
        </w:rPr>
        <w:t>Når biene i tillegg må fly lange avstander mellom blomstringene, og mange kolonier transporteres fra stat til stat for pollinering, øker stresset og risikoen for sykdom. Dette er en av grunnene til at amerikanske birøktere opplever langt høyere tap enn birøktere i Europa og Norge.</w:t>
      </w:r>
    </w:p>
    <w:p w14:paraId="16BF6F32" w14:textId="77777777" w:rsidR="00AA60C4" w:rsidRPr="00AA60C4" w:rsidRDefault="00AA60C4" w:rsidP="00AA60C4">
      <w:pPr>
        <w:rPr>
          <w:rFonts w:ascii="Arial" w:hAnsi="Arial" w:cs="Arial"/>
          <w:b/>
          <w:bCs/>
        </w:rPr>
      </w:pPr>
    </w:p>
    <w:p w14:paraId="49197D26" w14:textId="77777777" w:rsidR="00AA60C4" w:rsidRPr="0014424C" w:rsidRDefault="00AA60C4" w:rsidP="00AA60C4">
      <w:pPr>
        <w:rPr>
          <w:rFonts w:ascii="Arial" w:hAnsi="Arial" w:cs="Arial"/>
          <w:b/>
          <w:bCs/>
          <w:u w:val="single"/>
        </w:rPr>
      </w:pPr>
      <w:r w:rsidRPr="0014424C">
        <w:rPr>
          <w:rFonts w:ascii="Arial" w:hAnsi="Arial" w:cs="Arial"/>
          <w:b/>
          <w:bCs/>
          <w:u w:val="single"/>
        </w:rPr>
        <w:t>Sprøytemidler og kjemikalier</w:t>
      </w:r>
    </w:p>
    <w:p w14:paraId="28A56893" w14:textId="3F1A9C38" w:rsidR="00AA60C4" w:rsidRPr="00AA60C4" w:rsidRDefault="00AA60C4" w:rsidP="00AA60C4">
      <w:pPr>
        <w:rPr>
          <w:rFonts w:ascii="Arial" w:hAnsi="Arial" w:cs="Arial"/>
          <w:b/>
          <w:bCs/>
        </w:rPr>
      </w:pPr>
      <w:proofErr w:type="spellStart"/>
      <w:r w:rsidRPr="00AA60C4">
        <w:rPr>
          <w:rFonts w:ascii="Arial" w:hAnsi="Arial" w:cs="Arial"/>
          <w:b/>
          <w:bCs/>
        </w:rPr>
        <w:t>Neonikotinoider</w:t>
      </w:r>
      <w:proofErr w:type="spellEnd"/>
      <w:r w:rsidRPr="00AA60C4">
        <w:rPr>
          <w:rFonts w:ascii="Arial" w:hAnsi="Arial" w:cs="Arial"/>
          <w:b/>
          <w:bCs/>
        </w:rPr>
        <w:t xml:space="preserve"> og andre moderne sprøytemidler påvirker bienes nervesystem og gjør det vanskelig for dem å orientere seg og finne tilbake til kuben. Selv små doser kan svekke læringsevnen og hukommelsen, mens høyere konsentrasjoner kan være dødelige.</w:t>
      </w:r>
    </w:p>
    <w:p w14:paraId="6CA99E99" w14:textId="681A47CD" w:rsidR="00AA60C4" w:rsidRPr="00AA60C4" w:rsidRDefault="00AA60C4" w:rsidP="00AA60C4">
      <w:pPr>
        <w:rPr>
          <w:rFonts w:ascii="Arial" w:hAnsi="Arial" w:cs="Arial"/>
          <w:b/>
          <w:bCs/>
        </w:rPr>
      </w:pPr>
      <w:r w:rsidRPr="00AA60C4">
        <w:rPr>
          <w:rFonts w:ascii="Arial" w:hAnsi="Arial" w:cs="Arial"/>
          <w:b/>
          <w:bCs/>
        </w:rPr>
        <w:t xml:space="preserve">EPA </w:t>
      </w:r>
      <w:r w:rsidR="008175DE">
        <w:rPr>
          <w:rFonts w:ascii="Arial" w:hAnsi="Arial" w:cs="Arial"/>
          <w:b/>
          <w:bCs/>
        </w:rPr>
        <w:t>(</w:t>
      </w:r>
      <w:proofErr w:type="spellStart"/>
      <w:r w:rsidR="00F951BB" w:rsidRPr="00F951BB">
        <w:rPr>
          <w:rFonts w:ascii="Arial" w:hAnsi="Arial" w:cs="Arial"/>
          <w:b/>
          <w:bCs/>
        </w:rPr>
        <w:t>Environmental</w:t>
      </w:r>
      <w:proofErr w:type="spellEnd"/>
      <w:r w:rsidR="00F951BB" w:rsidRPr="00F951BB">
        <w:rPr>
          <w:rFonts w:ascii="Arial" w:hAnsi="Arial" w:cs="Arial"/>
          <w:b/>
          <w:bCs/>
        </w:rPr>
        <w:t xml:space="preserve"> </w:t>
      </w:r>
      <w:proofErr w:type="spellStart"/>
      <w:r w:rsidR="00F951BB" w:rsidRPr="00F951BB">
        <w:rPr>
          <w:rFonts w:ascii="Arial" w:hAnsi="Arial" w:cs="Arial"/>
          <w:b/>
          <w:bCs/>
        </w:rPr>
        <w:t>Protection</w:t>
      </w:r>
      <w:proofErr w:type="spellEnd"/>
      <w:r w:rsidR="00F951BB" w:rsidRPr="00F951BB">
        <w:rPr>
          <w:rFonts w:ascii="Arial" w:hAnsi="Arial" w:cs="Arial"/>
          <w:b/>
          <w:bCs/>
        </w:rPr>
        <w:t xml:space="preserve"> </w:t>
      </w:r>
      <w:proofErr w:type="spellStart"/>
      <w:r w:rsidR="00F951BB" w:rsidRPr="00F951BB">
        <w:rPr>
          <w:rFonts w:ascii="Arial" w:hAnsi="Arial" w:cs="Arial"/>
          <w:b/>
          <w:bCs/>
        </w:rPr>
        <w:t>Agency</w:t>
      </w:r>
      <w:proofErr w:type="spellEnd"/>
      <w:r w:rsidR="008175DE">
        <w:rPr>
          <w:rFonts w:ascii="Arial" w:hAnsi="Arial" w:cs="Arial"/>
          <w:b/>
          <w:bCs/>
        </w:rPr>
        <w:t xml:space="preserve">) </w:t>
      </w:r>
      <w:r w:rsidRPr="00AA60C4">
        <w:rPr>
          <w:rFonts w:ascii="Arial" w:hAnsi="Arial" w:cs="Arial"/>
          <w:b/>
          <w:bCs/>
        </w:rPr>
        <w:t xml:space="preserve">og USDA har dokumentert at sprøytemidler ikke nødvendigvis dreper biene direkte, men gjør koloniene mer </w:t>
      </w:r>
      <w:r w:rsidRPr="00AA60C4">
        <w:rPr>
          <w:rFonts w:ascii="Arial" w:hAnsi="Arial" w:cs="Arial"/>
          <w:b/>
          <w:bCs/>
        </w:rPr>
        <w:lastRenderedPageBreak/>
        <w:t xml:space="preserve">sårbare for sykdommer, parasitter og stress. Cornell </w:t>
      </w:r>
      <w:proofErr w:type="spellStart"/>
      <w:r w:rsidRPr="00AA60C4">
        <w:rPr>
          <w:rFonts w:ascii="Arial" w:hAnsi="Arial" w:cs="Arial"/>
          <w:b/>
          <w:bCs/>
        </w:rPr>
        <w:t>University</w:t>
      </w:r>
      <w:proofErr w:type="spellEnd"/>
      <w:r w:rsidRPr="00AA60C4">
        <w:rPr>
          <w:rFonts w:ascii="Arial" w:hAnsi="Arial" w:cs="Arial"/>
          <w:b/>
          <w:bCs/>
        </w:rPr>
        <w:t xml:space="preserve"> undersøker nå om sprøytemidler kan ha bidratt til de høye tapene i 2024–2025.</w:t>
      </w:r>
    </w:p>
    <w:p w14:paraId="4236538F" w14:textId="77777777" w:rsidR="00AA60C4" w:rsidRPr="00AA60C4" w:rsidRDefault="00AA60C4" w:rsidP="00AA60C4">
      <w:pPr>
        <w:rPr>
          <w:rFonts w:ascii="Arial" w:hAnsi="Arial" w:cs="Arial"/>
          <w:b/>
          <w:bCs/>
        </w:rPr>
      </w:pPr>
    </w:p>
    <w:p w14:paraId="39307815" w14:textId="77777777" w:rsidR="00AA60C4" w:rsidRPr="0014424C" w:rsidRDefault="00AA60C4" w:rsidP="00AA60C4">
      <w:pPr>
        <w:rPr>
          <w:rFonts w:ascii="Arial" w:hAnsi="Arial" w:cs="Arial"/>
          <w:b/>
          <w:bCs/>
          <w:u w:val="single"/>
        </w:rPr>
      </w:pPr>
      <w:r w:rsidRPr="0014424C">
        <w:rPr>
          <w:rFonts w:ascii="Arial" w:hAnsi="Arial" w:cs="Arial"/>
          <w:b/>
          <w:bCs/>
          <w:u w:val="single"/>
        </w:rPr>
        <w:t xml:space="preserve">Påvirker </w:t>
      </w:r>
      <w:proofErr w:type="spellStart"/>
      <w:r w:rsidRPr="0014424C">
        <w:rPr>
          <w:rFonts w:ascii="Arial" w:hAnsi="Arial" w:cs="Arial"/>
          <w:b/>
          <w:bCs/>
          <w:u w:val="single"/>
        </w:rPr>
        <w:t>Varroa</w:t>
      </w:r>
      <w:proofErr w:type="spellEnd"/>
      <w:r w:rsidRPr="0014424C">
        <w:rPr>
          <w:rFonts w:ascii="Cambria Math" w:hAnsi="Cambria Math" w:cs="Cambria Math"/>
          <w:b/>
          <w:bCs/>
          <w:u w:val="single"/>
        </w:rPr>
        <w:t>‑</w:t>
      </w:r>
      <w:r w:rsidRPr="0014424C">
        <w:rPr>
          <w:rFonts w:ascii="Arial" w:hAnsi="Arial" w:cs="Arial"/>
          <w:b/>
          <w:bCs/>
          <w:u w:val="single"/>
        </w:rPr>
        <w:t>midden andre insekter?</w:t>
      </w:r>
    </w:p>
    <w:p w14:paraId="0377F5EC" w14:textId="3DC6EBBD" w:rsidR="00AA60C4" w:rsidRPr="00AA60C4" w:rsidRDefault="00AA60C4" w:rsidP="00AA60C4">
      <w:pPr>
        <w:rPr>
          <w:rFonts w:ascii="Arial" w:hAnsi="Arial" w:cs="Arial"/>
          <w:b/>
          <w:bCs/>
        </w:rPr>
      </w:pP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 xml:space="preserve">midden angriper kun honningbier og kan ikke leve på humler, villbier eller andre insekter. Likevel kan høy biedød påvirke hele insektmiljøet indirekte. Virusene som midden sprer i bikubene finnes også i naturen, og enkelte av dem er påvist hos villbier og humler, selv om smitten ikke kommer fra </w:t>
      </w:r>
      <w:proofErr w:type="spellStart"/>
      <w:r w:rsidRPr="00AA60C4">
        <w:rPr>
          <w:rFonts w:ascii="Arial" w:hAnsi="Arial" w:cs="Arial"/>
          <w:b/>
          <w:bCs/>
        </w:rPr>
        <w:t>Varroa</w:t>
      </w:r>
      <w:proofErr w:type="spellEnd"/>
      <w:r w:rsidRPr="00AA60C4">
        <w:rPr>
          <w:rFonts w:ascii="Arial" w:hAnsi="Arial" w:cs="Arial"/>
          <w:b/>
          <w:bCs/>
        </w:rPr>
        <w:t>.</w:t>
      </w:r>
    </w:p>
    <w:p w14:paraId="2C220EB1" w14:textId="77777777" w:rsidR="00AA60C4" w:rsidRPr="00AA60C4" w:rsidRDefault="00AA60C4" w:rsidP="00AA60C4">
      <w:pPr>
        <w:rPr>
          <w:rFonts w:ascii="Arial" w:hAnsi="Arial" w:cs="Arial"/>
          <w:b/>
          <w:bCs/>
        </w:rPr>
      </w:pPr>
      <w:r w:rsidRPr="00AA60C4">
        <w:rPr>
          <w:rFonts w:ascii="Arial" w:hAnsi="Arial" w:cs="Arial"/>
          <w:b/>
          <w:bCs/>
        </w:rPr>
        <w:t xml:space="preserve">Når honningbier forsvinner i stort antall, endres konkurransen om blomsterressurser, og dette kan påvirke andre arter både positivt og negativt. I tillegg er mange av de faktorene som svekker honningbier – sprøytemidler, monokulturer og tap av blomsterdekning – de samme forholdene som påvirker andre </w:t>
      </w:r>
      <w:proofErr w:type="spellStart"/>
      <w:r w:rsidRPr="00AA60C4">
        <w:rPr>
          <w:rFonts w:ascii="Arial" w:hAnsi="Arial" w:cs="Arial"/>
          <w:b/>
          <w:bCs/>
        </w:rPr>
        <w:t>pollinatorer</w:t>
      </w:r>
      <w:proofErr w:type="spellEnd"/>
      <w:r w:rsidRPr="00AA60C4">
        <w:rPr>
          <w:rFonts w:ascii="Arial" w:hAnsi="Arial" w:cs="Arial"/>
          <w:b/>
          <w:bCs/>
        </w:rPr>
        <w:t>.</w:t>
      </w:r>
    </w:p>
    <w:p w14:paraId="319A595E" w14:textId="77777777" w:rsidR="00AA60C4" w:rsidRPr="00AA60C4" w:rsidRDefault="00AA60C4" w:rsidP="00AA60C4">
      <w:pPr>
        <w:rPr>
          <w:rFonts w:ascii="Arial" w:hAnsi="Arial" w:cs="Arial"/>
          <w:b/>
          <w:bCs/>
        </w:rPr>
      </w:pPr>
    </w:p>
    <w:p w14:paraId="0963466A" w14:textId="77777777" w:rsidR="00AA60C4" w:rsidRPr="0014424C" w:rsidRDefault="00AA60C4" w:rsidP="00AA60C4">
      <w:pPr>
        <w:rPr>
          <w:rFonts w:ascii="Arial" w:hAnsi="Arial" w:cs="Arial"/>
          <w:b/>
          <w:bCs/>
          <w:u w:val="single"/>
        </w:rPr>
      </w:pPr>
      <w:r w:rsidRPr="0014424C">
        <w:rPr>
          <w:rFonts w:ascii="Arial" w:hAnsi="Arial" w:cs="Arial"/>
          <w:b/>
          <w:bCs/>
          <w:u w:val="single"/>
        </w:rPr>
        <w:t>Naturlige klimavariasjoner og bienes leveforhold</w:t>
      </w:r>
    </w:p>
    <w:p w14:paraId="17B15C72" w14:textId="2601670A" w:rsidR="00AA60C4" w:rsidRPr="00AA60C4" w:rsidRDefault="00AA60C4" w:rsidP="00AA60C4">
      <w:pPr>
        <w:rPr>
          <w:rFonts w:ascii="Arial" w:hAnsi="Arial" w:cs="Arial"/>
          <w:b/>
          <w:bCs/>
        </w:rPr>
      </w:pPr>
      <w:r w:rsidRPr="00AA60C4">
        <w:rPr>
          <w:rFonts w:ascii="Arial" w:hAnsi="Arial" w:cs="Arial"/>
          <w:b/>
          <w:bCs/>
        </w:rPr>
        <w:t xml:space="preserve">Klimaet i USA har alltid variert naturlig, og slike svingninger kan påvirke bienes leveforhold både positivt og negativt. Mildere vintre kan gjøre at biene overlever bedre, men de samme forholdene gjør også at </w:t>
      </w: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midden klarer seg bedre gjennom vinteren. Tørke reduserer blomsterdekningen, mens våte år kan gi mer vegetasjon.</w:t>
      </w:r>
    </w:p>
    <w:p w14:paraId="0A343066" w14:textId="77777777" w:rsidR="00AA60C4" w:rsidRPr="00AA60C4" w:rsidRDefault="00AA60C4" w:rsidP="00AA60C4">
      <w:pPr>
        <w:rPr>
          <w:rFonts w:ascii="Arial" w:hAnsi="Arial" w:cs="Arial"/>
          <w:b/>
          <w:bCs/>
        </w:rPr>
      </w:pPr>
      <w:r w:rsidRPr="00AA60C4">
        <w:rPr>
          <w:rFonts w:ascii="Arial" w:hAnsi="Arial" w:cs="Arial"/>
          <w:b/>
          <w:bCs/>
        </w:rPr>
        <w:t>Endringer i temperatur og nedbør kan forskyve blomstringstidene, slik at biene kommer ut av vinterdvalen på feil tidspunkt og går glipp av viktige matkilder. Selv om klimaendringer ikke er den eneste årsaken til biedød, bidrar de til å skape et mer uforutsigbart miljø.</w:t>
      </w:r>
    </w:p>
    <w:p w14:paraId="0F316843" w14:textId="77777777" w:rsidR="00AA60C4" w:rsidRPr="00AA60C4" w:rsidRDefault="00AA60C4" w:rsidP="00AA60C4">
      <w:pPr>
        <w:rPr>
          <w:rFonts w:ascii="Arial" w:hAnsi="Arial" w:cs="Arial"/>
          <w:b/>
          <w:bCs/>
        </w:rPr>
      </w:pPr>
    </w:p>
    <w:p w14:paraId="75799672" w14:textId="77777777" w:rsidR="00AA60C4" w:rsidRPr="0014424C" w:rsidRDefault="00AA60C4" w:rsidP="00AA60C4">
      <w:pPr>
        <w:rPr>
          <w:rFonts w:ascii="Arial" w:hAnsi="Arial" w:cs="Arial"/>
          <w:b/>
          <w:bCs/>
          <w:u w:val="single"/>
        </w:rPr>
      </w:pPr>
      <w:r w:rsidRPr="0014424C">
        <w:rPr>
          <w:rFonts w:ascii="Arial" w:hAnsi="Arial" w:cs="Arial"/>
          <w:b/>
          <w:bCs/>
          <w:u w:val="single"/>
        </w:rPr>
        <w:t>Historiske mønstre og geografiske forskjeller</w:t>
      </w:r>
    </w:p>
    <w:p w14:paraId="5708BEB3" w14:textId="4905B530" w:rsidR="00AA60C4" w:rsidRPr="00AA60C4" w:rsidRDefault="00AA60C4" w:rsidP="00AA60C4">
      <w:pPr>
        <w:rPr>
          <w:rFonts w:ascii="Arial" w:hAnsi="Arial" w:cs="Arial"/>
          <w:b/>
          <w:bCs/>
        </w:rPr>
      </w:pPr>
      <w:r w:rsidRPr="00AA60C4">
        <w:rPr>
          <w:rFonts w:ascii="Arial" w:hAnsi="Arial" w:cs="Arial"/>
          <w:b/>
          <w:bCs/>
        </w:rPr>
        <w:t>Biedød er ikke et nytt fenomen i USA. Allerede på 1980</w:t>
      </w:r>
      <w:r w:rsidRPr="00AA60C4">
        <w:rPr>
          <w:rFonts w:ascii="Cambria Math" w:hAnsi="Cambria Math" w:cs="Cambria Math"/>
          <w:b/>
          <w:bCs/>
        </w:rPr>
        <w:t>‑</w:t>
      </w:r>
      <w:r w:rsidRPr="00AA60C4">
        <w:rPr>
          <w:rFonts w:ascii="Arial" w:hAnsi="Arial" w:cs="Arial"/>
          <w:b/>
          <w:bCs/>
        </w:rPr>
        <w:t xml:space="preserve">tallet rapporterte birøktere om økende problemer, men det var først rundt 2006 at fenomenet fikk navnet </w:t>
      </w:r>
      <w:proofErr w:type="spellStart"/>
      <w:r w:rsidRPr="00AA60C4">
        <w:rPr>
          <w:rFonts w:ascii="Arial" w:hAnsi="Arial" w:cs="Arial"/>
          <w:b/>
          <w:bCs/>
        </w:rPr>
        <w:t>Colony</w:t>
      </w:r>
      <w:proofErr w:type="spellEnd"/>
      <w:r w:rsidRPr="00AA60C4">
        <w:rPr>
          <w:rFonts w:ascii="Arial" w:hAnsi="Arial" w:cs="Arial"/>
          <w:b/>
          <w:bCs/>
        </w:rPr>
        <w:t xml:space="preserve"> </w:t>
      </w:r>
      <w:proofErr w:type="spellStart"/>
      <w:r w:rsidRPr="00AA60C4">
        <w:rPr>
          <w:rFonts w:ascii="Arial" w:hAnsi="Arial" w:cs="Arial"/>
          <w:b/>
          <w:bCs/>
        </w:rPr>
        <w:t>Collapse</w:t>
      </w:r>
      <w:proofErr w:type="spellEnd"/>
      <w:r w:rsidRPr="00AA60C4">
        <w:rPr>
          <w:rFonts w:ascii="Arial" w:hAnsi="Arial" w:cs="Arial"/>
          <w:b/>
          <w:bCs/>
        </w:rPr>
        <w:t xml:space="preserve"> </w:t>
      </w:r>
      <w:proofErr w:type="spellStart"/>
      <w:r w:rsidRPr="00AA60C4">
        <w:rPr>
          <w:rFonts w:ascii="Arial" w:hAnsi="Arial" w:cs="Arial"/>
          <w:b/>
          <w:bCs/>
        </w:rPr>
        <w:t>Disorder</w:t>
      </w:r>
      <w:proofErr w:type="spellEnd"/>
      <w:r w:rsidRPr="00AA60C4">
        <w:rPr>
          <w:rFonts w:ascii="Arial" w:hAnsi="Arial" w:cs="Arial"/>
          <w:b/>
          <w:bCs/>
        </w:rPr>
        <w:t xml:space="preserve"> (CCD).</w:t>
      </w:r>
    </w:p>
    <w:p w14:paraId="677C693E" w14:textId="5B0ED835" w:rsidR="00AA60C4" w:rsidRPr="00AA60C4" w:rsidRDefault="00AA60C4" w:rsidP="00AA60C4">
      <w:pPr>
        <w:rPr>
          <w:rFonts w:ascii="Arial" w:hAnsi="Arial" w:cs="Arial"/>
          <w:b/>
          <w:bCs/>
        </w:rPr>
      </w:pPr>
      <w:r w:rsidRPr="00AA60C4">
        <w:rPr>
          <w:rFonts w:ascii="Arial" w:hAnsi="Arial" w:cs="Arial"/>
          <w:b/>
          <w:bCs/>
        </w:rPr>
        <w:t>Siden den gang har vintertapene sjelden vært under 20 %, og i mange år har de ligget mellom 30 og 40 %. I 2024–2025 ble det registrert den høyeste dødeligheten noensinne, med over 60 % tap i kommersielle kolonier. Enkelte delstater rapporterte tap på over 70 %.</w:t>
      </w:r>
    </w:p>
    <w:p w14:paraId="27531A10" w14:textId="77777777" w:rsidR="002E6F1B" w:rsidRDefault="002E6F1B" w:rsidP="00AA60C4">
      <w:pPr>
        <w:rPr>
          <w:rFonts w:ascii="Arial" w:hAnsi="Arial" w:cs="Arial"/>
          <w:b/>
          <w:bCs/>
        </w:rPr>
      </w:pPr>
      <w:r w:rsidRPr="002E6F1B">
        <w:rPr>
          <w:rFonts w:ascii="Arial" w:hAnsi="Arial" w:cs="Arial"/>
          <w:b/>
          <w:bCs/>
        </w:rPr>
        <w:t xml:space="preserve">California opplever store svingninger fordi </w:t>
      </w:r>
      <w:proofErr w:type="spellStart"/>
      <w:r w:rsidRPr="002E6F1B">
        <w:rPr>
          <w:rFonts w:ascii="Arial" w:hAnsi="Arial" w:cs="Arial"/>
          <w:b/>
          <w:bCs/>
        </w:rPr>
        <w:t>mandelindustrien</w:t>
      </w:r>
      <w:proofErr w:type="spellEnd"/>
      <w:r w:rsidRPr="002E6F1B">
        <w:rPr>
          <w:rFonts w:ascii="Arial" w:hAnsi="Arial" w:cs="Arial"/>
          <w:b/>
          <w:bCs/>
        </w:rPr>
        <w:t xml:space="preserve"> skaper en ekstremt kunstig og sesongbasert pollineringssituasjon. I februar trenger mandeltrærne millioner av honningbier samtidig, og rundt 70 prosent av alle </w:t>
      </w:r>
      <w:proofErr w:type="spellStart"/>
      <w:r w:rsidRPr="002E6F1B">
        <w:rPr>
          <w:rFonts w:ascii="Arial" w:hAnsi="Arial" w:cs="Arial"/>
          <w:b/>
          <w:bCs/>
        </w:rPr>
        <w:lastRenderedPageBreak/>
        <w:t>bikolonier</w:t>
      </w:r>
      <w:proofErr w:type="spellEnd"/>
      <w:r w:rsidRPr="002E6F1B">
        <w:rPr>
          <w:rFonts w:ascii="Arial" w:hAnsi="Arial" w:cs="Arial"/>
          <w:b/>
          <w:bCs/>
        </w:rPr>
        <w:t xml:space="preserve"> i USA fraktes dit. Dette gir en kort periode med enorm blomsterressurs, etterfulgt av et landskap som nesten ikke tilbyr mat resten av året. Når blomstringen er over, faller næringstilgangen brått, og koloniene svekkes. I tillegg øker smittepresset når så mange bikuber samles på ett sted. Midtvesten har på sin side høye tap knyttet til store monokulturer av mais og soya, som gir lite variert pollen og lange perioder uten blomster. Enkelte nordlige stater har mer stabile bestander i år med gunstige værforhold, fordi landskapet der ofte har mer naturlig vegetasjon og mindre intensivt jordbruk.</w:t>
      </w:r>
    </w:p>
    <w:p w14:paraId="0D8C3B39" w14:textId="77777777" w:rsidR="002E6F1B" w:rsidRPr="00AA60C4" w:rsidRDefault="002E6F1B" w:rsidP="00AA60C4">
      <w:pPr>
        <w:rPr>
          <w:rFonts w:ascii="Arial" w:hAnsi="Arial" w:cs="Arial"/>
          <w:b/>
          <w:bCs/>
        </w:rPr>
      </w:pPr>
    </w:p>
    <w:p w14:paraId="764B9B7A" w14:textId="77777777" w:rsidR="00AA60C4" w:rsidRPr="0014424C" w:rsidRDefault="00AA60C4" w:rsidP="00AA60C4">
      <w:pPr>
        <w:rPr>
          <w:rFonts w:ascii="Arial" w:hAnsi="Arial" w:cs="Arial"/>
          <w:b/>
          <w:bCs/>
          <w:u w:val="single"/>
        </w:rPr>
      </w:pPr>
      <w:r w:rsidRPr="0014424C">
        <w:rPr>
          <w:rFonts w:ascii="Arial" w:hAnsi="Arial" w:cs="Arial"/>
          <w:b/>
          <w:bCs/>
          <w:u w:val="single"/>
        </w:rPr>
        <w:t>Hvordan står det til i andre land – og i Norge?</w:t>
      </w:r>
    </w:p>
    <w:tbl>
      <w:tblPr>
        <w:tblStyle w:val="Tabellrutenett"/>
        <w:tblW w:w="0" w:type="auto"/>
        <w:tblLook w:val="04A0" w:firstRow="1" w:lastRow="0" w:firstColumn="1" w:lastColumn="0" w:noHBand="0" w:noVBand="1"/>
      </w:tblPr>
      <w:tblGrid>
        <w:gridCol w:w="9062"/>
      </w:tblGrid>
      <w:tr w:rsidR="00BA6196" w14:paraId="4B142D74" w14:textId="77777777" w:rsidTr="00BA6196">
        <w:tc>
          <w:tcPr>
            <w:tcW w:w="9062" w:type="dxa"/>
          </w:tcPr>
          <w:p w14:paraId="3C029B7F" w14:textId="11F9F779" w:rsidR="00BA6196" w:rsidRDefault="00F240EB" w:rsidP="00F240EB">
            <w:pPr>
              <w:rPr>
                <w:rFonts w:ascii="Arial" w:hAnsi="Arial" w:cs="Arial"/>
                <w:b/>
                <w:bCs/>
              </w:rPr>
            </w:pPr>
            <w:r>
              <w:rPr>
                <w:rFonts w:ascii="Arial" w:hAnsi="Arial" w:cs="Arial"/>
                <w:b/>
                <w:bCs/>
                <w:noProof/>
              </w:rPr>
              <w:drawing>
                <wp:inline distT="0" distB="0" distL="0" distR="0" wp14:anchorId="6B94C8CD" wp14:editId="59A9EB49">
                  <wp:extent cx="5594350" cy="3731431"/>
                  <wp:effectExtent l="0" t="0" r="6350" b="2540"/>
                  <wp:docPr id="69731068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601" cy="3742270"/>
                          </a:xfrm>
                          <a:prstGeom prst="rect">
                            <a:avLst/>
                          </a:prstGeom>
                          <a:noFill/>
                        </pic:spPr>
                      </pic:pic>
                    </a:graphicData>
                  </a:graphic>
                </wp:inline>
              </w:drawing>
            </w:r>
          </w:p>
        </w:tc>
      </w:tr>
      <w:tr w:rsidR="00BA6196" w14:paraId="5E70224D" w14:textId="77777777" w:rsidTr="00BA6196">
        <w:tc>
          <w:tcPr>
            <w:tcW w:w="9062" w:type="dxa"/>
          </w:tcPr>
          <w:p w14:paraId="60209E92" w14:textId="3AD8787F" w:rsidR="00BA6196" w:rsidRDefault="000C7970" w:rsidP="00AA60C4">
            <w:pPr>
              <w:rPr>
                <w:rFonts w:ascii="Arial" w:hAnsi="Arial" w:cs="Arial"/>
                <w:b/>
                <w:bCs/>
              </w:rPr>
            </w:pPr>
            <w:r w:rsidRPr="000C7970">
              <w:rPr>
                <w:rFonts w:ascii="Arial" w:hAnsi="Arial" w:cs="Arial"/>
                <w:b/>
                <w:bCs/>
              </w:rPr>
              <w:t xml:space="preserve">På taket av Clarion Hotel The </w:t>
            </w:r>
            <w:proofErr w:type="spellStart"/>
            <w:r w:rsidRPr="000C7970">
              <w:rPr>
                <w:rFonts w:ascii="Arial" w:hAnsi="Arial" w:cs="Arial"/>
                <w:b/>
                <w:bCs/>
              </w:rPr>
              <w:t>Hub</w:t>
            </w:r>
            <w:proofErr w:type="spellEnd"/>
            <w:r w:rsidRPr="000C7970">
              <w:rPr>
                <w:rFonts w:ascii="Arial" w:hAnsi="Arial" w:cs="Arial"/>
                <w:b/>
                <w:bCs/>
              </w:rPr>
              <w:t xml:space="preserve"> i Oslo ligger Nordens største </w:t>
            </w:r>
            <w:proofErr w:type="spellStart"/>
            <w:r w:rsidRPr="000C7970">
              <w:rPr>
                <w:rFonts w:ascii="Arial" w:hAnsi="Arial" w:cs="Arial"/>
                <w:b/>
                <w:bCs/>
              </w:rPr>
              <w:t>takåker</w:t>
            </w:r>
            <w:proofErr w:type="spellEnd"/>
            <w:r w:rsidRPr="000C7970">
              <w:rPr>
                <w:rFonts w:ascii="Arial" w:hAnsi="Arial" w:cs="Arial"/>
                <w:b/>
                <w:bCs/>
              </w:rPr>
              <w:t>. Her dyrkes grønnsaker, urter og blomster midt i byen, og bikuber bidrar til pollinering og økt biologisk mangfold. Takåkeren gir hotellet kortreiste råvarer og viser hvordan urbant landbruk kan utnytte ellers ubrukt areal.</w:t>
            </w:r>
          </w:p>
        </w:tc>
      </w:tr>
    </w:tbl>
    <w:p w14:paraId="22F0CB0D" w14:textId="77777777" w:rsidR="0084416E" w:rsidRDefault="0084416E" w:rsidP="00AA60C4">
      <w:pPr>
        <w:rPr>
          <w:rFonts w:ascii="Arial" w:hAnsi="Arial" w:cs="Arial"/>
          <w:b/>
          <w:bCs/>
        </w:rPr>
      </w:pPr>
    </w:p>
    <w:p w14:paraId="703F1557" w14:textId="730BB377" w:rsidR="00AA60C4" w:rsidRPr="00AA60C4" w:rsidRDefault="00AA60C4" w:rsidP="00AA60C4">
      <w:pPr>
        <w:rPr>
          <w:rFonts w:ascii="Arial" w:hAnsi="Arial" w:cs="Arial"/>
          <w:b/>
          <w:bCs/>
        </w:rPr>
      </w:pPr>
      <w:r w:rsidRPr="00AA60C4">
        <w:rPr>
          <w:rFonts w:ascii="Arial" w:hAnsi="Arial" w:cs="Arial"/>
          <w:b/>
          <w:bCs/>
        </w:rPr>
        <w:t xml:space="preserve">Flere europeiske land har hatt perioder med høye vintertap, men omfanget har generelt vært lavere enn i USA. EU har strengere regulering av sprøytemidler, og flere </w:t>
      </w:r>
      <w:proofErr w:type="spellStart"/>
      <w:r w:rsidRPr="00AA60C4">
        <w:rPr>
          <w:rFonts w:ascii="Arial" w:hAnsi="Arial" w:cs="Arial"/>
          <w:b/>
          <w:bCs/>
        </w:rPr>
        <w:t>neonikotinoider</w:t>
      </w:r>
      <w:proofErr w:type="spellEnd"/>
      <w:r w:rsidRPr="00AA60C4">
        <w:rPr>
          <w:rFonts w:ascii="Arial" w:hAnsi="Arial" w:cs="Arial"/>
          <w:b/>
          <w:bCs/>
        </w:rPr>
        <w:t xml:space="preserve"> er forbudt.</w:t>
      </w:r>
    </w:p>
    <w:p w14:paraId="3349C22A" w14:textId="69BBB1F8" w:rsidR="001C2144" w:rsidRPr="001C2144" w:rsidRDefault="001C2144" w:rsidP="001C2144">
      <w:pPr>
        <w:rPr>
          <w:rFonts w:ascii="Arial" w:hAnsi="Arial" w:cs="Arial"/>
          <w:b/>
          <w:bCs/>
        </w:rPr>
      </w:pPr>
      <w:r w:rsidRPr="001C2144">
        <w:rPr>
          <w:rFonts w:ascii="Arial" w:hAnsi="Arial" w:cs="Arial"/>
          <w:b/>
          <w:bCs/>
        </w:rPr>
        <w:t xml:space="preserve">I Norge er situasjonen annerledes enn i USA. Norske birøktere mister færre </w:t>
      </w:r>
      <w:proofErr w:type="spellStart"/>
      <w:r w:rsidRPr="001C2144">
        <w:rPr>
          <w:rFonts w:ascii="Arial" w:hAnsi="Arial" w:cs="Arial"/>
          <w:b/>
          <w:bCs/>
        </w:rPr>
        <w:t>bikolonier</w:t>
      </w:r>
      <w:proofErr w:type="spellEnd"/>
      <w:r w:rsidRPr="001C2144">
        <w:rPr>
          <w:rFonts w:ascii="Arial" w:hAnsi="Arial" w:cs="Arial"/>
          <w:b/>
          <w:bCs/>
        </w:rPr>
        <w:t xml:space="preserve"> om vinteren, og det skyldes både klima, strengere regler og måten birøkt drives på. Norge bruker ikke sterke kjemiske midler som </w:t>
      </w:r>
      <w:proofErr w:type="spellStart"/>
      <w:r w:rsidRPr="001C2144">
        <w:rPr>
          <w:rFonts w:ascii="Arial" w:hAnsi="Arial" w:cs="Arial"/>
          <w:b/>
          <w:bCs/>
        </w:rPr>
        <w:t>amitraz</w:t>
      </w:r>
      <w:proofErr w:type="spellEnd"/>
      <w:r w:rsidRPr="001C2144">
        <w:rPr>
          <w:rFonts w:ascii="Arial" w:hAnsi="Arial" w:cs="Arial"/>
          <w:b/>
          <w:bCs/>
        </w:rPr>
        <w:t xml:space="preserve"> mot </w:t>
      </w:r>
      <w:proofErr w:type="spellStart"/>
      <w:r w:rsidRPr="001C2144">
        <w:rPr>
          <w:rFonts w:ascii="Arial" w:hAnsi="Arial" w:cs="Arial"/>
          <w:b/>
          <w:bCs/>
        </w:rPr>
        <w:t>Varroa</w:t>
      </w:r>
      <w:proofErr w:type="spellEnd"/>
      <w:r w:rsidRPr="001C2144">
        <w:rPr>
          <w:rFonts w:ascii="Cambria Math" w:hAnsi="Cambria Math" w:cs="Cambria Math"/>
          <w:b/>
          <w:bCs/>
        </w:rPr>
        <w:t>‑</w:t>
      </w:r>
      <w:r w:rsidRPr="001C2144">
        <w:rPr>
          <w:rFonts w:ascii="Arial" w:hAnsi="Arial" w:cs="Arial"/>
          <w:b/>
          <w:bCs/>
        </w:rPr>
        <w:t xml:space="preserve">midden. I stedet bruker birøktere metoder som er mer skånsomme, for eksempel organiske syrer (oksalsyre og maursyre) og teknikker som å fjerne </w:t>
      </w:r>
      <w:r w:rsidRPr="001C2144">
        <w:rPr>
          <w:rFonts w:ascii="Arial" w:hAnsi="Arial" w:cs="Arial"/>
          <w:b/>
          <w:bCs/>
        </w:rPr>
        <w:lastRenderedPageBreak/>
        <w:t>droneyngel eller varmebehandle kuber. Disse metodene gjør at midden ikke utvikler resistens slik den har gjort i USA.</w:t>
      </w:r>
    </w:p>
    <w:p w14:paraId="2E590BE2" w14:textId="2FAA97D5" w:rsidR="00AA60C4" w:rsidRDefault="001C2144" w:rsidP="001C2144">
      <w:pPr>
        <w:rPr>
          <w:rFonts w:ascii="Arial" w:hAnsi="Arial" w:cs="Arial"/>
          <w:b/>
          <w:bCs/>
        </w:rPr>
      </w:pPr>
      <w:r w:rsidRPr="001C2144">
        <w:rPr>
          <w:rFonts w:ascii="Arial" w:hAnsi="Arial" w:cs="Arial"/>
          <w:b/>
          <w:bCs/>
        </w:rPr>
        <w:t>Det finnes også områder i Norge – særlig i Nord</w:t>
      </w:r>
      <w:r w:rsidRPr="001C2144">
        <w:rPr>
          <w:rFonts w:ascii="Cambria Math" w:hAnsi="Cambria Math" w:cs="Cambria Math"/>
          <w:b/>
          <w:bCs/>
        </w:rPr>
        <w:t>‑</w:t>
      </w:r>
      <w:r w:rsidRPr="001C2144">
        <w:rPr>
          <w:rFonts w:ascii="Arial" w:hAnsi="Arial" w:cs="Arial"/>
          <w:b/>
          <w:bCs/>
        </w:rPr>
        <w:t xml:space="preserve">Norge – hvor </w:t>
      </w:r>
      <w:proofErr w:type="spellStart"/>
      <w:r w:rsidRPr="001C2144">
        <w:rPr>
          <w:rFonts w:ascii="Arial" w:hAnsi="Arial" w:cs="Arial"/>
          <w:b/>
          <w:bCs/>
        </w:rPr>
        <w:t>Varroa</w:t>
      </w:r>
      <w:proofErr w:type="spellEnd"/>
      <w:r w:rsidRPr="001C2144">
        <w:rPr>
          <w:rFonts w:ascii="Arial" w:hAnsi="Arial" w:cs="Arial"/>
          <w:b/>
          <w:bCs/>
        </w:rPr>
        <w:t xml:space="preserve"> fortsatt ikke er påvist. Her er det strenge regler for flytting av bikuber for å hindre at midden sprer seg. I tillegg har noen birøktere avlet frem bier som er flinkere til å holde seg selv rene og fjerne midd fra yngelen. Det norske landskapet, med mindre intensivt jordbruk og mer naturlig vegetasjon, gir dessuten biene et mer variert og stabilt mattilbud. Alt dette gjør at norske </w:t>
      </w:r>
      <w:proofErr w:type="spellStart"/>
      <w:r w:rsidRPr="001C2144">
        <w:rPr>
          <w:rFonts w:ascii="Arial" w:hAnsi="Arial" w:cs="Arial"/>
          <w:b/>
          <w:bCs/>
        </w:rPr>
        <w:t>bikolonier</w:t>
      </w:r>
      <w:proofErr w:type="spellEnd"/>
      <w:r w:rsidRPr="001C2144">
        <w:rPr>
          <w:rFonts w:ascii="Arial" w:hAnsi="Arial" w:cs="Arial"/>
          <w:b/>
          <w:bCs/>
        </w:rPr>
        <w:t xml:space="preserve"> ofte klarer seg bedre enn kolonier i land med mer intensivt landbruk.</w:t>
      </w:r>
    </w:p>
    <w:p w14:paraId="10D55019" w14:textId="77777777" w:rsidR="001C2144" w:rsidRPr="00AA60C4" w:rsidRDefault="001C2144" w:rsidP="001C2144">
      <w:pPr>
        <w:rPr>
          <w:rFonts w:ascii="Arial" w:hAnsi="Arial" w:cs="Arial"/>
          <w:b/>
          <w:bCs/>
        </w:rPr>
      </w:pPr>
    </w:p>
    <w:p w14:paraId="2929AE7A" w14:textId="77777777" w:rsidR="00AA60C4" w:rsidRPr="0014424C" w:rsidRDefault="00AA60C4" w:rsidP="00AA60C4">
      <w:pPr>
        <w:rPr>
          <w:rFonts w:ascii="Arial" w:hAnsi="Arial" w:cs="Arial"/>
          <w:b/>
          <w:bCs/>
          <w:u w:val="single"/>
        </w:rPr>
      </w:pPr>
      <w:r w:rsidRPr="0014424C">
        <w:rPr>
          <w:rFonts w:ascii="Arial" w:hAnsi="Arial" w:cs="Arial"/>
          <w:b/>
          <w:bCs/>
          <w:u w:val="single"/>
        </w:rPr>
        <w:t>Konklusjon: Et komplekst problem uten én løsning</w:t>
      </w:r>
    </w:p>
    <w:p w14:paraId="795F5F73" w14:textId="4363B4EC" w:rsidR="00AA60C4" w:rsidRDefault="00AA60C4" w:rsidP="00AA60C4">
      <w:pPr>
        <w:rPr>
          <w:rFonts w:ascii="Arial" w:hAnsi="Arial" w:cs="Arial"/>
          <w:b/>
          <w:bCs/>
        </w:rPr>
      </w:pPr>
      <w:r w:rsidRPr="00AA60C4">
        <w:rPr>
          <w:rFonts w:ascii="Arial" w:hAnsi="Arial" w:cs="Arial"/>
          <w:b/>
          <w:bCs/>
        </w:rPr>
        <w:t xml:space="preserve">Forskningen er tydelig: virusinfeksjoner spredd av </w:t>
      </w:r>
      <w:proofErr w:type="spellStart"/>
      <w:r w:rsidRPr="00AA60C4">
        <w:rPr>
          <w:rFonts w:ascii="Arial" w:hAnsi="Arial" w:cs="Arial"/>
          <w:b/>
          <w:bCs/>
        </w:rPr>
        <w:t>Varroa</w:t>
      </w:r>
      <w:proofErr w:type="spellEnd"/>
      <w:r w:rsidRPr="00AA60C4">
        <w:rPr>
          <w:rFonts w:ascii="Cambria Math" w:hAnsi="Cambria Math" w:cs="Cambria Math"/>
          <w:b/>
          <w:bCs/>
        </w:rPr>
        <w:t>‑</w:t>
      </w:r>
      <w:r w:rsidRPr="00AA60C4">
        <w:rPr>
          <w:rFonts w:ascii="Arial" w:hAnsi="Arial" w:cs="Arial"/>
          <w:b/>
          <w:bCs/>
        </w:rPr>
        <w:t>midden er den direkte hovedårsaken til den rekordhøye biedøden i USA. Men dette skjer i et landskap der sprøytemidler, monokulturer, transportstress og klimavariasjoner forsterker problemene.</w:t>
      </w:r>
    </w:p>
    <w:p w14:paraId="6DC547D9" w14:textId="4116E575" w:rsidR="00600B80" w:rsidRDefault="00600B80" w:rsidP="00AA60C4">
      <w:pPr>
        <w:rPr>
          <w:rFonts w:ascii="Arial" w:hAnsi="Arial" w:cs="Arial"/>
          <w:b/>
          <w:bCs/>
        </w:rPr>
      </w:pPr>
      <w:r w:rsidRPr="00600B80">
        <w:rPr>
          <w:rFonts w:ascii="Arial" w:hAnsi="Arial" w:cs="Arial"/>
          <w:b/>
          <w:bCs/>
        </w:rPr>
        <w:t>Situasjonen viser hvor sårbart samspillet mellom landbruk, natur og pollinerende insekter er. Når bier dør eller forsvinner, påvirker det ikke bare bienes egne samfunn, men også matproduksjonen vår og mange av økosystemene vi er avhengige av. Biedød handler derfor ikke bare om insekter, men om hele grunnlaget for hvordan vi dyrker mat og tar vare på naturen rundt oss.</w:t>
      </w:r>
    </w:p>
    <w:p w14:paraId="3DA62DFF" w14:textId="77777777" w:rsidR="00600B80" w:rsidRDefault="00600B80" w:rsidP="00AA60C4">
      <w:pPr>
        <w:rPr>
          <w:rFonts w:ascii="Arial" w:hAnsi="Arial" w:cs="Arial"/>
          <w:b/>
          <w:bCs/>
        </w:rPr>
      </w:pPr>
    </w:p>
    <w:p w14:paraId="3DB905C2" w14:textId="77777777" w:rsidR="00C74DDA" w:rsidRPr="00AA60C4" w:rsidRDefault="00C74DDA" w:rsidP="00AA60C4">
      <w:pPr>
        <w:rPr>
          <w:rFonts w:ascii="Arial" w:hAnsi="Arial" w:cs="Arial"/>
          <w:b/>
          <w:bCs/>
        </w:rPr>
      </w:pPr>
    </w:p>
    <w:p w14:paraId="16285B3D" w14:textId="6B3ED11F" w:rsidR="00075730" w:rsidRPr="004C2AB9" w:rsidRDefault="004C2AB9" w:rsidP="0099299B">
      <w:pPr>
        <w:rPr>
          <w:rFonts w:ascii="Arial" w:hAnsi="Arial" w:cs="Arial"/>
          <w:b/>
          <w:bCs/>
          <w:u w:val="single"/>
        </w:rPr>
      </w:pPr>
      <w:r w:rsidRPr="004C2AB9">
        <w:rPr>
          <w:rFonts w:ascii="Arial" w:hAnsi="Arial" w:cs="Arial"/>
          <w:b/>
          <w:bCs/>
          <w:u w:val="single"/>
        </w:rPr>
        <w:t>Kilder:</w:t>
      </w:r>
    </w:p>
    <w:p w14:paraId="70ADDAE5"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Bowen-Walker, P. L., Martin, S. J., &amp; Gunn, A. (1999). The transmission of deformed wing virus between honeybees by the ectoparasitic mite Varroa </w:t>
      </w:r>
      <w:proofErr w:type="spellStart"/>
      <w:r w:rsidRPr="007E6489">
        <w:rPr>
          <w:rFonts w:ascii="Arial" w:hAnsi="Arial" w:cs="Arial"/>
          <w:b/>
          <w:bCs/>
          <w:sz w:val="20"/>
          <w:szCs w:val="20"/>
          <w:lang w:val="en-GB" w:eastAsia="nb-NO"/>
        </w:rPr>
        <w:t>jacobsoni</w:t>
      </w:r>
      <w:proofErr w:type="spellEnd"/>
      <w:r w:rsidRPr="007E6489">
        <w:rPr>
          <w:rFonts w:ascii="Arial" w:hAnsi="Arial" w:cs="Arial"/>
          <w:b/>
          <w:bCs/>
          <w:sz w:val="20"/>
          <w:szCs w:val="20"/>
          <w:lang w:val="en-GB" w:eastAsia="nb-NO"/>
        </w:rPr>
        <w:t>. Journal of Invertebrate Pathology, 73(1), 101–106.</w:t>
      </w:r>
    </w:p>
    <w:p w14:paraId="58B36EF0"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De Miranda, J. R., &amp; </w:t>
      </w:r>
      <w:proofErr w:type="spellStart"/>
      <w:r w:rsidRPr="007E6489">
        <w:rPr>
          <w:rFonts w:ascii="Arial" w:hAnsi="Arial" w:cs="Arial"/>
          <w:b/>
          <w:bCs/>
          <w:sz w:val="20"/>
          <w:szCs w:val="20"/>
          <w:lang w:val="en-GB" w:eastAsia="nb-NO"/>
        </w:rPr>
        <w:t>Genersch</w:t>
      </w:r>
      <w:proofErr w:type="spellEnd"/>
      <w:r w:rsidRPr="007E6489">
        <w:rPr>
          <w:rFonts w:ascii="Arial" w:hAnsi="Arial" w:cs="Arial"/>
          <w:b/>
          <w:bCs/>
          <w:sz w:val="20"/>
          <w:szCs w:val="20"/>
          <w:lang w:val="en-GB" w:eastAsia="nb-NO"/>
        </w:rPr>
        <w:t>, E. (2010). Deformed wing virus. Journal of Invertebrate Pathology, 103, S48–S61.</w:t>
      </w:r>
    </w:p>
    <w:p w14:paraId="76B3CED1"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eastAsia="nb-NO"/>
        </w:rPr>
        <w:t>Rosenkranz</w:t>
      </w:r>
      <w:proofErr w:type="spellEnd"/>
      <w:r w:rsidRPr="007E6489">
        <w:rPr>
          <w:rFonts w:ascii="Arial" w:hAnsi="Arial" w:cs="Arial"/>
          <w:b/>
          <w:bCs/>
          <w:sz w:val="20"/>
          <w:szCs w:val="20"/>
          <w:lang w:eastAsia="nb-NO"/>
        </w:rPr>
        <w:t xml:space="preserve">, P., </w:t>
      </w:r>
      <w:proofErr w:type="spellStart"/>
      <w:r w:rsidRPr="007E6489">
        <w:rPr>
          <w:rFonts w:ascii="Arial" w:hAnsi="Arial" w:cs="Arial"/>
          <w:b/>
          <w:bCs/>
          <w:sz w:val="20"/>
          <w:szCs w:val="20"/>
          <w:lang w:eastAsia="nb-NO"/>
        </w:rPr>
        <w:t>Aumeier</w:t>
      </w:r>
      <w:proofErr w:type="spellEnd"/>
      <w:r w:rsidRPr="007E6489">
        <w:rPr>
          <w:rFonts w:ascii="Arial" w:hAnsi="Arial" w:cs="Arial"/>
          <w:b/>
          <w:bCs/>
          <w:sz w:val="20"/>
          <w:szCs w:val="20"/>
          <w:lang w:eastAsia="nb-NO"/>
        </w:rPr>
        <w:t xml:space="preserve">, P., &amp; </w:t>
      </w:r>
      <w:proofErr w:type="spellStart"/>
      <w:r w:rsidRPr="007E6489">
        <w:rPr>
          <w:rFonts w:ascii="Arial" w:hAnsi="Arial" w:cs="Arial"/>
          <w:b/>
          <w:bCs/>
          <w:sz w:val="20"/>
          <w:szCs w:val="20"/>
          <w:lang w:eastAsia="nb-NO"/>
        </w:rPr>
        <w:t>Ziegelmann</w:t>
      </w:r>
      <w:proofErr w:type="spellEnd"/>
      <w:r w:rsidRPr="007E6489">
        <w:rPr>
          <w:rFonts w:ascii="Arial" w:hAnsi="Arial" w:cs="Arial"/>
          <w:b/>
          <w:bCs/>
          <w:sz w:val="20"/>
          <w:szCs w:val="20"/>
          <w:lang w:eastAsia="nb-NO"/>
        </w:rPr>
        <w:t xml:space="preserve">, B. (2010). </w:t>
      </w:r>
      <w:r w:rsidRPr="007E6489">
        <w:rPr>
          <w:rFonts w:ascii="Arial" w:hAnsi="Arial" w:cs="Arial"/>
          <w:b/>
          <w:bCs/>
          <w:sz w:val="20"/>
          <w:szCs w:val="20"/>
          <w:lang w:val="en-GB" w:eastAsia="nb-NO"/>
        </w:rPr>
        <w:t>Biology and control of Varroa destructor. Journal of Invertebrate Pathology, 103, S96–S119.</w:t>
      </w:r>
    </w:p>
    <w:p w14:paraId="6B121BC3"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USDA Agricultural Research Service. (2023). Varroa mite resistance and </w:t>
      </w:r>
      <w:proofErr w:type="gramStart"/>
      <w:r w:rsidRPr="007E6489">
        <w:rPr>
          <w:rFonts w:ascii="Arial" w:hAnsi="Arial" w:cs="Arial"/>
          <w:b/>
          <w:bCs/>
          <w:sz w:val="20"/>
          <w:szCs w:val="20"/>
          <w:lang w:val="en-GB" w:eastAsia="nb-NO"/>
        </w:rPr>
        <w:t>honey bee</w:t>
      </w:r>
      <w:proofErr w:type="gramEnd"/>
      <w:r w:rsidRPr="007E6489">
        <w:rPr>
          <w:rFonts w:ascii="Arial" w:hAnsi="Arial" w:cs="Arial"/>
          <w:b/>
          <w:bCs/>
          <w:sz w:val="20"/>
          <w:szCs w:val="20"/>
          <w:lang w:val="en-GB" w:eastAsia="nb-NO"/>
        </w:rPr>
        <w:t xml:space="preserve"> health. U.S. Department of Agriculture.</w:t>
      </w:r>
    </w:p>
    <w:p w14:paraId="30C00126" w14:textId="77777777" w:rsidR="0028294F" w:rsidRPr="007E6489" w:rsidRDefault="0028294F" w:rsidP="007E6489">
      <w:pPr>
        <w:pStyle w:val="Listeavsnitt"/>
        <w:numPr>
          <w:ilvl w:val="0"/>
          <w:numId w:val="4"/>
        </w:numPr>
        <w:rPr>
          <w:rFonts w:ascii="Arial" w:hAnsi="Arial" w:cs="Arial"/>
          <w:b/>
          <w:bCs/>
          <w:sz w:val="20"/>
          <w:szCs w:val="20"/>
          <w:lang w:eastAsia="nb-NO"/>
        </w:rPr>
      </w:pPr>
      <w:r w:rsidRPr="007E6489">
        <w:rPr>
          <w:rFonts w:ascii="Arial" w:hAnsi="Arial" w:cs="Arial"/>
          <w:b/>
          <w:bCs/>
          <w:sz w:val="20"/>
          <w:szCs w:val="20"/>
          <w:lang w:val="en-GB" w:eastAsia="nb-NO"/>
        </w:rPr>
        <w:t xml:space="preserve">Traynor, K. S., </w:t>
      </w:r>
      <w:proofErr w:type="spellStart"/>
      <w:r w:rsidRPr="007E6489">
        <w:rPr>
          <w:rFonts w:ascii="Arial" w:hAnsi="Arial" w:cs="Arial"/>
          <w:b/>
          <w:bCs/>
          <w:sz w:val="20"/>
          <w:szCs w:val="20"/>
          <w:lang w:val="en-GB" w:eastAsia="nb-NO"/>
        </w:rPr>
        <w:t>Mondet</w:t>
      </w:r>
      <w:proofErr w:type="spellEnd"/>
      <w:r w:rsidRPr="007E6489">
        <w:rPr>
          <w:rFonts w:ascii="Arial" w:hAnsi="Arial" w:cs="Arial"/>
          <w:b/>
          <w:bCs/>
          <w:sz w:val="20"/>
          <w:szCs w:val="20"/>
          <w:lang w:val="en-GB" w:eastAsia="nb-NO"/>
        </w:rPr>
        <w:t xml:space="preserve">, F., de Miranda, J. R., Techer, M., Kowallik, V., Oddie, M., ... &amp; McAfee, A. (2020). Varroa destructor: A complex parasite, crippling </w:t>
      </w:r>
      <w:proofErr w:type="gramStart"/>
      <w:r w:rsidRPr="007E6489">
        <w:rPr>
          <w:rFonts w:ascii="Arial" w:hAnsi="Arial" w:cs="Arial"/>
          <w:b/>
          <w:bCs/>
          <w:sz w:val="20"/>
          <w:szCs w:val="20"/>
          <w:lang w:val="en-GB" w:eastAsia="nb-NO"/>
        </w:rPr>
        <w:t>honey bees</w:t>
      </w:r>
      <w:proofErr w:type="gramEnd"/>
      <w:r w:rsidRPr="007E6489">
        <w:rPr>
          <w:rFonts w:ascii="Arial" w:hAnsi="Arial" w:cs="Arial"/>
          <w:b/>
          <w:bCs/>
          <w:sz w:val="20"/>
          <w:szCs w:val="20"/>
          <w:lang w:val="en-GB" w:eastAsia="nb-NO"/>
        </w:rPr>
        <w:t xml:space="preserve"> worldwide. </w:t>
      </w:r>
      <w:r w:rsidRPr="007E6489">
        <w:rPr>
          <w:rFonts w:ascii="Arial" w:hAnsi="Arial" w:cs="Arial"/>
          <w:b/>
          <w:bCs/>
          <w:sz w:val="20"/>
          <w:szCs w:val="20"/>
          <w:lang w:eastAsia="nb-NO"/>
        </w:rPr>
        <w:t xml:space="preserve">Trends in </w:t>
      </w:r>
      <w:proofErr w:type="spellStart"/>
      <w:r w:rsidRPr="007E6489">
        <w:rPr>
          <w:rFonts w:ascii="Arial" w:hAnsi="Arial" w:cs="Arial"/>
          <w:b/>
          <w:bCs/>
          <w:sz w:val="20"/>
          <w:szCs w:val="20"/>
          <w:lang w:eastAsia="nb-NO"/>
        </w:rPr>
        <w:t>Parasitology</w:t>
      </w:r>
      <w:proofErr w:type="spellEnd"/>
      <w:r w:rsidRPr="007E6489">
        <w:rPr>
          <w:rFonts w:ascii="Arial" w:hAnsi="Arial" w:cs="Arial"/>
          <w:b/>
          <w:bCs/>
          <w:sz w:val="20"/>
          <w:szCs w:val="20"/>
          <w:lang w:eastAsia="nb-NO"/>
        </w:rPr>
        <w:t>, 36(7), 592–606.</w:t>
      </w:r>
    </w:p>
    <w:p w14:paraId="7874CE70"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eastAsia="nb-NO"/>
        </w:rPr>
        <w:t>Rinkevich</w:t>
      </w:r>
      <w:proofErr w:type="spellEnd"/>
      <w:r w:rsidRPr="007E6489">
        <w:rPr>
          <w:rFonts w:ascii="Arial" w:hAnsi="Arial" w:cs="Arial"/>
          <w:b/>
          <w:bCs/>
          <w:sz w:val="20"/>
          <w:szCs w:val="20"/>
          <w:lang w:eastAsia="nb-NO"/>
        </w:rPr>
        <w:t xml:space="preserve">, F. D. (2020). </w:t>
      </w:r>
      <w:r w:rsidRPr="007E6489">
        <w:rPr>
          <w:rFonts w:ascii="Arial" w:hAnsi="Arial" w:cs="Arial"/>
          <w:b/>
          <w:bCs/>
          <w:sz w:val="20"/>
          <w:szCs w:val="20"/>
          <w:lang w:val="en-GB" w:eastAsia="nb-NO"/>
        </w:rPr>
        <w:t>Detection of amitraz resistance in Varroa destructor in the United States. Apidologie, 51, 71–79.</w:t>
      </w:r>
    </w:p>
    <w:p w14:paraId="3420930D"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val="en-GB" w:eastAsia="nb-NO"/>
        </w:rPr>
        <w:t>Elzen</w:t>
      </w:r>
      <w:proofErr w:type="spellEnd"/>
      <w:r w:rsidRPr="007E6489">
        <w:rPr>
          <w:rFonts w:ascii="Arial" w:hAnsi="Arial" w:cs="Arial"/>
          <w:b/>
          <w:bCs/>
          <w:sz w:val="20"/>
          <w:szCs w:val="20"/>
          <w:lang w:val="en-GB" w:eastAsia="nb-NO"/>
        </w:rPr>
        <w:t xml:space="preserve">, P. J., &amp; Westervelt, D. (2002). Detection of </w:t>
      </w:r>
      <w:proofErr w:type="spellStart"/>
      <w:r w:rsidRPr="007E6489">
        <w:rPr>
          <w:rFonts w:ascii="Arial" w:hAnsi="Arial" w:cs="Arial"/>
          <w:b/>
          <w:bCs/>
          <w:sz w:val="20"/>
          <w:szCs w:val="20"/>
          <w:lang w:val="en-GB" w:eastAsia="nb-NO"/>
        </w:rPr>
        <w:t>coumaphos</w:t>
      </w:r>
      <w:proofErr w:type="spellEnd"/>
      <w:r w:rsidRPr="007E6489">
        <w:rPr>
          <w:rFonts w:ascii="Arial" w:hAnsi="Arial" w:cs="Arial"/>
          <w:b/>
          <w:bCs/>
          <w:sz w:val="20"/>
          <w:szCs w:val="20"/>
          <w:lang w:val="en-GB" w:eastAsia="nb-NO"/>
        </w:rPr>
        <w:t xml:space="preserve"> resistance in Varroa destructor in Florida. American Bee Journal, 142, 291–292.</w:t>
      </w:r>
    </w:p>
    <w:p w14:paraId="49692709"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Apiary Inspectors of America. (2025). Annual Colony Loss Survey 2024–2025. Apiary Inspectors of America.</w:t>
      </w:r>
    </w:p>
    <w:p w14:paraId="620B5FE8"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lastRenderedPageBreak/>
        <w:t>Project Apis m. (2025). Commercial Beekeeper Loss Report 2024–2025. Project Apis m.</w:t>
      </w:r>
    </w:p>
    <w:p w14:paraId="4EBA0A3C"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EPA. (2023). Pollinator risk assessment guidance. U.S. Environmental Protection Agency.</w:t>
      </w:r>
    </w:p>
    <w:p w14:paraId="52277703"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Henry, M., </w:t>
      </w:r>
      <w:proofErr w:type="spellStart"/>
      <w:r w:rsidRPr="007E6489">
        <w:rPr>
          <w:rFonts w:ascii="Arial" w:hAnsi="Arial" w:cs="Arial"/>
          <w:b/>
          <w:bCs/>
          <w:sz w:val="20"/>
          <w:szCs w:val="20"/>
          <w:lang w:val="en-GB" w:eastAsia="nb-NO"/>
        </w:rPr>
        <w:t>Béguin</w:t>
      </w:r>
      <w:proofErr w:type="spellEnd"/>
      <w:r w:rsidRPr="007E6489">
        <w:rPr>
          <w:rFonts w:ascii="Arial" w:hAnsi="Arial" w:cs="Arial"/>
          <w:b/>
          <w:bCs/>
          <w:sz w:val="20"/>
          <w:szCs w:val="20"/>
          <w:lang w:val="en-GB" w:eastAsia="nb-NO"/>
        </w:rPr>
        <w:t xml:space="preserve">, M., </w:t>
      </w:r>
      <w:proofErr w:type="spellStart"/>
      <w:r w:rsidRPr="007E6489">
        <w:rPr>
          <w:rFonts w:ascii="Arial" w:hAnsi="Arial" w:cs="Arial"/>
          <w:b/>
          <w:bCs/>
          <w:sz w:val="20"/>
          <w:szCs w:val="20"/>
          <w:lang w:val="en-GB" w:eastAsia="nb-NO"/>
        </w:rPr>
        <w:t>Requier</w:t>
      </w:r>
      <w:proofErr w:type="spellEnd"/>
      <w:r w:rsidRPr="007E6489">
        <w:rPr>
          <w:rFonts w:ascii="Arial" w:hAnsi="Arial" w:cs="Arial"/>
          <w:b/>
          <w:bCs/>
          <w:sz w:val="20"/>
          <w:szCs w:val="20"/>
          <w:lang w:val="en-GB" w:eastAsia="nb-NO"/>
        </w:rPr>
        <w:t xml:space="preserve">, F., Rollin, O., Odoux, J. F., </w:t>
      </w:r>
      <w:proofErr w:type="spellStart"/>
      <w:r w:rsidRPr="007E6489">
        <w:rPr>
          <w:rFonts w:ascii="Arial" w:hAnsi="Arial" w:cs="Arial"/>
          <w:b/>
          <w:bCs/>
          <w:sz w:val="20"/>
          <w:szCs w:val="20"/>
          <w:lang w:val="en-GB" w:eastAsia="nb-NO"/>
        </w:rPr>
        <w:t>Aupinel</w:t>
      </w:r>
      <w:proofErr w:type="spellEnd"/>
      <w:r w:rsidRPr="007E6489">
        <w:rPr>
          <w:rFonts w:ascii="Arial" w:hAnsi="Arial" w:cs="Arial"/>
          <w:b/>
          <w:bCs/>
          <w:sz w:val="20"/>
          <w:szCs w:val="20"/>
          <w:lang w:val="en-GB" w:eastAsia="nb-NO"/>
        </w:rPr>
        <w:t xml:space="preserve">, P., ... &amp; </w:t>
      </w:r>
      <w:proofErr w:type="spellStart"/>
      <w:r w:rsidRPr="007E6489">
        <w:rPr>
          <w:rFonts w:ascii="Arial" w:hAnsi="Arial" w:cs="Arial"/>
          <w:b/>
          <w:bCs/>
          <w:sz w:val="20"/>
          <w:szCs w:val="20"/>
          <w:lang w:val="en-GB" w:eastAsia="nb-NO"/>
        </w:rPr>
        <w:t>Decourtye</w:t>
      </w:r>
      <w:proofErr w:type="spellEnd"/>
      <w:r w:rsidRPr="007E6489">
        <w:rPr>
          <w:rFonts w:ascii="Arial" w:hAnsi="Arial" w:cs="Arial"/>
          <w:b/>
          <w:bCs/>
          <w:sz w:val="20"/>
          <w:szCs w:val="20"/>
          <w:lang w:val="en-GB" w:eastAsia="nb-NO"/>
        </w:rPr>
        <w:t xml:space="preserve">, A. (2012). A common pesticide decreases foraging success and survival in </w:t>
      </w:r>
      <w:proofErr w:type="gramStart"/>
      <w:r w:rsidRPr="007E6489">
        <w:rPr>
          <w:rFonts w:ascii="Arial" w:hAnsi="Arial" w:cs="Arial"/>
          <w:b/>
          <w:bCs/>
          <w:sz w:val="20"/>
          <w:szCs w:val="20"/>
          <w:lang w:val="en-GB" w:eastAsia="nb-NO"/>
        </w:rPr>
        <w:t>honey bees</w:t>
      </w:r>
      <w:proofErr w:type="gramEnd"/>
      <w:r w:rsidRPr="007E6489">
        <w:rPr>
          <w:rFonts w:ascii="Arial" w:hAnsi="Arial" w:cs="Arial"/>
          <w:b/>
          <w:bCs/>
          <w:sz w:val="20"/>
          <w:szCs w:val="20"/>
          <w:lang w:val="en-GB" w:eastAsia="nb-NO"/>
        </w:rPr>
        <w:t>. Science, 336(6079), 348–350.</w:t>
      </w:r>
    </w:p>
    <w:p w14:paraId="4F0D986A" w14:textId="77777777" w:rsidR="0028294F" w:rsidRPr="007E6489" w:rsidRDefault="0028294F" w:rsidP="007E6489">
      <w:pPr>
        <w:pStyle w:val="Listeavsnitt"/>
        <w:numPr>
          <w:ilvl w:val="0"/>
          <w:numId w:val="4"/>
        </w:numPr>
        <w:rPr>
          <w:rFonts w:ascii="Arial" w:hAnsi="Arial" w:cs="Arial"/>
          <w:b/>
          <w:bCs/>
          <w:sz w:val="20"/>
          <w:szCs w:val="20"/>
          <w:lang w:eastAsia="nb-NO"/>
        </w:rPr>
      </w:pPr>
      <w:r w:rsidRPr="007E6489">
        <w:rPr>
          <w:rFonts w:ascii="Arial" w:hAnsi="Arial" w:cs="Arial"/>
          <w:b/>
          <w:bCs/>
          <w:sz w:val="20"/>
          <w:szCs w:val="20"/>
          <w:lang w:val="en-GB" w:eastAsia="nb-NO"/>
        </w:rPr>
        <w:t xml:space="preserve">Woodcock, B. A., Bullock, J. M., Shore, R. F., Heard, M. S., Pereira, M. G., Redhead, J., ... &amp; Pywell, R. F. (2017). Country-specific effects of neonicotinoid pesticides on </w:t>
      </w:r>
      <w:proofErr w:type="gramStart"/>
      <w:r w:rsidRPr="007E6489">
        <w:rPr>
          <w:rFonts w:ascii="Arial" w:hAnsi="Arial" w:cs="Arial"/>
          <w:b/>
          <w:bCs/>
          <w:sz w:val="20"/>
          <w:szCs w:val="20"/>
          <w:lang w:val="en-GB" w:eastAsia="nb-NO"/>
        </w:rPr>
        <w:t>honey bees</w:t>
      </w:r>
      <w:proofErr w:type="gramEnd"/>
      <w:r w:rsidRPr="007E6489">
        <w:rPr>
          <w:rFonts w:ascii="Arial" w:hAnsi="Arial" w:cs="Arial"/>
          <w:b/>
          <w:bCs/>
          <w:sz w:val="20"/>
          <w:szCs w:val="20"/>
          <w:lang w:val="en-GB" w:eastAsia="nb-NO"/>
        </w:rPr>
        <w:t xml:space="preserve"> and wild bees. </w:t>
      </w:r>
      <w:r w:rsidRPr="007E6489">
        <w:rPr>
          <w:rFonts w:ascii="Arial" w:hAnsi="Arial" w:cs="Arial"/>
          <w:b/>
          <w:bCs/>
          <w:sz w:val="20"/>
          <w:szCs w:val="20"/>
          <w:lang w:eastAsia="nb-NO"/>
        </w:rPr>
        <w:t>Science, 356(6345), 1393–1395.</w:t>
      </w:r>
    </w:p>
    <w:p w14:paraId="39E3FCB0"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Di Pasquale, G., </w:t>
      </w:r>
      <w:proofErr w:type="spellStart"/>
      <w:r w:rsidRPr="007E6489">
        <w:rPr>
          <w:rFonts w:ascii="Arial" w:hAnsi="Arial" w:cs="Arial"/>
          <w:b/>
          <w:bCs/>
          <w:sz w:val="20"/>
          <w:szCs w:val="20"/>
          <w:lang w:val="en-GB" w:eastAsia="nb-NO"/>
        </w:rPr>
        <w:t>Salignon</w:t>
      </w:r>
      <w:proofErr w:type="spellEnd"/>
      <w:r w:rsidRPr="007E6489">
        <w:rPr>
          <w:rFonts w:ascii="Arial" w:hAnsi="Arial" w:cs="Arial"/>
          <w:b/>
          <w:bCs/>
          <w:sz w:val="20"/>
          <w:szCs w:val="20"/>
          <w:lang w:val="en-GB" w:eastAsia="nb-NO"/>
        </w:rPr>
        <w:t xml:space="preserve">, M., Le Conte, Y., </w:t>
      </w:r>
      <w:proofErr w:type="spellStart"/>
      <w:r w:rsidRPr="007E6489">
        <w:rPr>
          <w:rFonts w:ascii="Arial" w:hAnsi="Arial" w:cs="Arial"/>
          <w:b/>
          <w:bCs/>
          <w:sz w:val="20"/>
          <w:szCs w:val="20"/>
          <w:lang w:val="en-GB" w:eastAsia="nb-NO"/>
        </w:rPr>
        <w:t>Belzunces</w:t>
      </w:r>
      <w:proofErr w:type="spellEnd"/>
      <w:r w:rsidRPr="007E6489">
        <w:rPr>
          <w:rFonts w:ascii="Arial" w:hAnsi="Arial" w:cs="Arial"/>
          <w:b/>
          <w:bCs/>
          <w:sz w:val="20"/>
          <w:szCs w:val="20"/>
          <w:lang w:val="en-GB" w:eastAsia="nb-NO"/>
        </w:rPr>
        <w:t xml:space="preserve">, L. P., </w:t>
      </w:r>
      <w:proofErr w:type="spellStart"/>
      <w:r w:rsidRPr="007E6489">
        <w:rPr>
          <w:rFonts w:ascii="Arial" w:hAnsi="Arial" w:cs="Arial"/>
          <w:b/>
          <w:bCs/>
          <w:sz w:val="20"/>
          <w:szCs w:val="20"/>
          <w:lang w:val="en-GB" w:eastAsia="nb-NO"/>
        </w:rPr>
        <w:t>Decourtye</w:t>
      </w:r>
      <w:proofErr w:type="spellEnd"/>
      <w:r w:rsidRPr="007E6489">
        <w:rPr>
          <w:rFonts w:ascii="Arial" w:hAnsi="Arial" w:cs="Arial"/>
          <w:b/>
          <w:bCs/>
          <w:sz w:val="20"/>
          <w:szCs w:val="20"/>
          <w:lang w:val="en-GB" w:eastAsia="nb-NO"/>
        </w:rPr>
        <w:t xml:space="preserve">, A., Kretzschmar, A., ... &amp; </w:t>
      </w:r>
      <w:proofErr w:type="spellStart"/>
      <w:r w:rsidRPr="007E6489">
        <w:rPr>
          <w:rFonts w:ascii="Arial" w:hAnsi="Arial" w:cs="Arial"/>
          <w:b/>
          <w:bCs/>
          <w:sz w:val="20"/>
          <w:szCs w:val="20"/>
          <w:lang w:val="en-GB" w:eastAsia="nb-NO"/>
        </w:rPr>
        <w:t>Alaux</w:t>
      </w:r>
      <w:proofErr w:type="spellEnd"/>
      <w:r w:rsidRPr="007E6489">
        <w:rPr>
          <w:rFonts w:ascii="Arial" w:hAnsi="Arial" w:cs="Arial"/>
          <w:b/>
          <w:bCs/>
          <w:sz w:val="20"/>
          <w:szCs w:val="20"/>
          <w:lang w:val="en-GB" w:eastAsia="nb-NO"/>
        </w:rPr>
        <w:t xml:space="preserve">, C. (2013). Influence of pollen nutrition on </w:t>
      </w:r>
      <w:proofErr w:type="gramStart"/>
      <w:r w:rsidRPr="007E6489">
        <w:rPr>
          <w:rFonts w:ascii="Arial" w:hAnsi="Arial" w:cs="Arial"/>
          <w:b/>
          <w:bCs/>
          <w:sz w:val="20"/>
          <w:szCs w:val="20"/>
          <w:lang w:val="en-GB" w:eastAsia="nb-NO"/>
        </w:rPr>
        <w:t>honey bee</w:t>
      </w:r>
      <w:proofErr w:type="gramEnd"/>
      <w:r w:rsidRPr="007E6489">
        <w:rPr>
          <w:rFonts w:ascii="Arial" w:hAnsi="Arial" w:cs="Arial"/>
          <w:b/>
          <w:bCs/>
          <w:sz w:val="20"/>
          <w:szCs w:val="20"/>
          <w:lang w:val="en-GB" w:eastAsia="nb-NO"/>
        </w:rPr>
        <w:t xml:space="preserve"> health. </w:t>
      </w:r>
      <w:proofErr w:type="spellStart"/>
      <w:r w:rsidRPr="007E6489">
        <w:rPr>
          <w:rFonts w:ascii="Arial" w:hAnsi="Arial" w:cs="Arial"/>
          <w:b/>
          <w:bCs/>
          <w:sz w:val="20"/>
          <w:szCs w:val="20"/>
          <w:lang w:val="en-GB" w:eastAsia="nb-NO"/>
        </w:rPr>
        <w:t>PLoS</w:t>
      </w:r>
      <w:proofErr w:type="spellEnd"/>
      <w:r w:rsidRPr="007E6489">
        <w:rPr>
          <w:rFonts w:ascii="Arial" w:hAnsi="Arial" w:cs="Arial"/>
          <w:b/>
          <w:bCs/>
          <w:sz w:val="20"/>
          <w:szCs w:val="20"/>
          <w:lang w:val="en-GB" w:eastAsia="nb-NO"/>
        </w:rPr>
        <w:t xml:space="preserve"> ONE, 8(8), e72016.</w:t>
      </w:r>
    </w:p>
    <w:p w14:paraId="7A61BFDB"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val="en-GB" w:eastAsia="nb-NO"/>
        </w:rPr>
        <w:t>Deguines</w:t>
      </w:r>
      <w:proofErr w:type="spellEnd"/>
      <w:r w:rsidRPr="007E6489">
        <w:rPr>
          <w:rFonts w:ascii="Arial" w:hAnsi="Arial" w:cs="Arial"/>
          <w:b/>
          <w:bCs/>
          <w:sz w:val="20"/>
          <w:szCs w:val="20"/>
          <w:lang w:val="en-GB" w:eastAsia="nb-NO"/>
        </w:rPr>
        <w:t>, N., Jono, C., Baude, M., Henry, M., Julliard, R., &amp; Fontaine, C. (2014). Large-scale trade-off between agricultural intensification and crop pollination services. Frontiers in Ecology and the Environment, 12(4), 212–217.</w:t>
      </w:r>
    </w:p>
    <w:p w14:paraId="065B13D6"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val="en-GB" w:eastAsia="nb-NO"/>
        </w:rPr>
        <w:t>Sagili</w:t>
      </w:r>
      <w:proofErr w:type="spellEnd"/>
      <w:r w:rsidRPr="007E6489">
        <w:rPr>
          <w:rFonts w:ascii="Arial" w:hAnsi="Arial" w:cs="Arial"/>
          <w:b/>
          <w:bCs/>
          <w:sz w:val="20"/>
          <w:szCs w:val="20"/>
          <w:lang w:val="en-GB" w:eastAsia="nb-NO"/>
        </w:rPr>
        <w:t xml:space="preserve">, R. R., Burgett, M., &amp; Fisher, J. (2018). </w:t>
      </w:r>
      <w:proofErr w:type="gramStart"/>
      <w:r w:rsidRPr="007E6489">
        <w:rPr>
          <w:rFonts w:ascii="Arial" w:hAnsi="Arial" w:cs="Arial"/>
          <w:b/>
          <w:bCs/>
          <w:sz w:val="20"/>
          <w:szCs w:val="20"/>
          <w:lang w:val="en-GB" w:eastAsia="nb-NO"/>
        </w:rPr>
        <w:t>Honey bee</w:t>
      </w:r>
      <w:proofErr w:type="gramEnd"/>
      <w:r w:rsidRPr="007E6489">
        <w:rPr>
          <w:rFonts w:ascii="Arial" w:hAnsi="Arial" w:cs="Arial"/>
          <w:b/>
          <w:bCs/>
          <w:sz w:val="20"/>
          <w:szCs w:val="20"/>
          <w:lang w:val="en-GB" w:eastAsia="nb-NO"/>
        </w:rPr>
        <w:t xml:space="preserve"> colony health and almond pollination. Oregon State University Extension.</w:t>
      </w:r>
    </w:p>
    <w:p w14:paraId="6F14B056"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Goodrich, B. K., Goodhue, R. E., &amp; Williams, J. C. (2019). Bee–pollinated crops and migratory beekeeping. American Journal of Agricultural Economics, 101(5), 1353–1372.</w:t>
      </w:r>
    </w:p>
    <w:p w14:paraId="171DDCE8" w14:textId="77777777" w:rsidR="0028294F" w:rsidRPr="007E6489" w:rsidRDefault="0028294F" w:rsidP="007E6489">
      <w:pPr>
        <w:pStyle w:val="Listeavsnitt"/>
        <w:numPr>
          <w:ilvl w:val="0"/>
          <w:numId w:val="4"/>
        </w:numPr>
        <w:rPr>
          <w:rFonts w:ascii="Arial" w:hAnsi="Arial" w:cs="Arial"/>
          <w:b/>
          <w:bCs/>
          <w:sz w:val="20"/>
          <w:szCs w:val="20"/>
          <w:lang w:val="en-GB" w:eastAsia="nb-NO"/>
        </w:rPr>
      </w:pPr>
      <w:proofErr w:type="spellStart"/>
      <w:r w:rsidRPr="007E6489">
        <w:rPr>
          <w:rFonts w:ascii="Arial" w:hAnsi="Arial" w:cs="Arial"/>
          <w:b/>
          <w:bCs/>
          <w:sz w:val="20"/>
          <w:szCs w:val="20"/>
          <w:lang w:val="en-GB" w:eastAsia="nb-NO"/>
        </w:rPr>
        <w:t>vanEngelsdorp</w:t>
      </w:r>
      <w:proofErr w:type="spellEnd"/>
      <w:r w:rsidRPr="007E6489">
        <w:rPr>
          <w:rFonts w:ascii="Arial" w:hAnsi="Arial" w:cs="Arial"/>
          <w:b/>
          <w:bCs/>
          <w:sz w:val="20"/>
          <w:szCs w:val="20"/>
          <w:lang w:val="en-GB" w:eastAsia="nb-NO"/>
        </w:rPr>
        <w:t xml:space="preserve">, D., Evans, J. D., </w:t>
      </w:r>
      <w:proofErr w:type="spellStart"/>
      <w:r w:rsidRPr="007E6489">
        <w:rPr>
          <w:rFonts w:ascii="Arial" w:hAnsi="Arial" w:cs="Arial"/>
          <w:b/>
          <w:bCs/>
          <w:sz w:val="20"/>
          <w:szCs w:val="20"/>
          <w:lang w:val="en-GB" w:eastAsia="nb-NO"/>
        </w:rPr>
        <w:t>Saegerman</w:t>
      </w:r>
      <w:proofErr w:type="spellEnd"/>
      <w:r w:rsidRPr="007E6489">
        <w:rPr>
          <w:rFonts w:ascii="Arial" w:hAnsi="Arial" w:cs="Arial"/>
          <w:b/>
          <w:bCs/>
          <w:sz w:val="20"/>
          <w:szCs w:val="20"/>
          <w:lang w:val="en-GB" w:eastAsia="nb-NO"/>
        </w:rPr>
        <w:t xml:space="preserve">, C., Mullin, C., </w:t>
      </w:r>
      <w:proofErr w:type="spellStart"/>
      <w:r w:rsidRPr="007E6489">
        <w:rPr>
          <w:rFonts w:ascii="Arial" w:hAnsi="Arial" w:cs="Arial"/>
          <w:b/>
          <w:bCs/>
          <w:sz w:val="20"/>
          <w:szCs w:val="20"/>
          <w:lang w:val="en-GB" w:eastAsia="nb-NO"/>
        </w:rPr>
        <w:t>Haubruge</w:t>
      </w:r>
      <w:proofErr w:type="spellEnd"/>
      <w:r w:rsidRPr="007E6489">
        <w:rPr>
          <w:rFonts w:ascii="Arial" w:hAnsi="Arial" w:cs="Arial"/>
          <w:b/>
          <w:bCs/>
          <w:sz w:val="20"/>
          <w:szCs w:val="20"/>
          <w:lang w:val="en-GB" w:eastAsia="nb-NO"/>
        </w:rPr>
        <w:t xml:space="preserve">, E., Nguyen, B. K., ... &amp; Pettis, J. S. (2009). Colony Collapse Disorder: A descriptive study. </w:t>
      </w:r>
      <w:proofErr w:type="spellStart"/>
      <w:r w:rsidRPr="007E6489">
        <w:rPr>
          <w:rFonts w:ascii="Arial" w:hAnsi="Arial" w:cs="Arial"/>
          <w:b/>
          <w:bCs/>
          <w:sz w:val="20"/>
          <w:szCs w:val="20"/>
          <w:lang w:val="en-GB" w:eastAsia="nb-NO"/>
        </w:rPr>
        <w:t>PLoS</w:t>
      </w:r>
      <w:proofErr w:type="spellEnd"/>
      <w:r w:rsidRPr="007E6489">
        <w:rPr>
          <w:rFonts w:ascii="Arial" w:hAnsi="Arial" w:cs="Arial"/>
          <w:b/>
          <w:bCs/>
          <w:sz w:val="20"/>
          <w:szCs w:val="20"/>
          <w:lang w:val="en-GB" w:eastAsia="nb-NO"/>
        </w:rPr>
        <w:t xml:space="preserve"> ONE, 4(8), e6481.</w:t>
      </w:r>
    </w:p>
    <w:p w14:paraId="6FB073B7" w14:textId="77777777" w:rsidR="0028294F" w:rsidRPr="007E6489" w:rsidRDefault="0028294F" w:rsidP="007E6489">
      <w:pPr>
        <w:pStyle w:val="Listeavsnitt"/>
        <w:numPr>
          <w:ilvl w:val="0"/>
          <w:numId w:val="4"/>
        </w:numPr>
        <w:rPr>
          <w:rFonts w:ascii="Arial" w:hAnsi="Arial" w:cs="Arial"/>
          <w:b/>
          <w:bCs/>
          <w:sz w:val="20"/>
          <w:szCs w:val="20"/>
          <w:lang w:eastAsia="nb-NO"/>
        </w:rPr>
      </w:pPr>
      <w:proofErr w:type="spellStart"/>
      <w:r w:rsidRPr="007E6489">
        <w:rPr>
          <w:rFonts w:ascii="Arial" w:hAnsi="Arial" w:cs="Arial"/>
          <w:b/>
          <w:bCs/>
          <w:sz w:val="20"/>
          <w:szCs w:val="20"/>
          <w:lang w:val="en-GB" w:eastAsia="nb-NO"/>
        </w:rPr>
        <w:t>Ratnieks</w:t>
      </w:r>
      <w:proofErr w:type="spellEnd"/>
      <w:r w:rsidRPr="007E6489">
        <w:rPr>
          <w:rFonts w:ascii="Arial" w:hAnsi="Arial" w:cs="Arial"/>
          <w:b/>
          <w:bCs/>
          <w:sz w:val="20"/>
          <w:szCs w:val="20"/>
          <w:lang w:val="en-GB" w:eastAsia="nb-NO"/>
        </w:rPr>
        <w:t xml:space="preserve">, F. L. W., &amp; </w:t>
      </w:r>
      <w:proofErr w:type="spellStart"/>
      <w:r w:rsidRPr="007E6489">
        <w:rPr>
          <w:rFonts w:ascii="Arial" w:hAnsi="Arial" w:cs="Arial"/>
          <w:b/>
          <w:bCs/>
          <w:sz w:val="20"/>
          <w:szCs w:val="20"/>
          <w:lang w:val="en-GB" w:eastAsia="nb-NO"/>
        </w:rPr>
        <w:t>Carreck</w:t>
      </w:r>
      <w:proofErr w:type="spellEnd"/>
      <w:r w:rsidRPr="007E6489">
        <w:rPr>
          <w:rFonts w:ascii="Arial" w:hAnsi="Arial" w:cs="Arial"/>
          <w:b/>
          <w:bCs/>
          <w:sz w:val="20"/>
          <w:szCs w:val="20"/>
          <w:lang w:val="en-GB" w:eastAsia="nb-NO"/>
        </w:rPr>
        <w:t xml:space="preserve">, N. L. (2010). Clarity on </w:t>
      </w:r>
      <w:proofErr w:type="gramStart"/>
      <w:r w:rsidRPr="007E6489">
        <w:rPr>
          <w:rFonts w:ascii="Arial" w:hAnsi="Arial" w:cs="Arial"/>
          <w:b/>
          <w:bCs/>
          <w:sz w:val="20"/>
          <w:szCs w:val="20"/>
          <w:lang w:val="en-GB" w:eastAsia="nb-NO"/>
        </w:rPr>
        <w:t>honey bee</w:t>
      </w:r>
      <w:proofErr w:type="gramEnd"/>
      <w:r w:rsidRPr="007E6489">
        <w:rPr>
          <w:rFonts w:ascii="Arial" w:hAnsi="Arial" w:cs="Arial"/>
          <w:b/>
          <w:bCs/>
          <w:sz w:val="20"/>
          <w:szCs w:val="20"/>
          <w:lang w:val="en-GB" w:eastAsia="nb-NO"/>
        </w:rPr>
        <w:t xml:space="preserve"> collapse? </w:t>
      </w:r>
      <w:r w:rsidRPr="007E6489">
        <w:rPr>
          <w:rFonts w:ascii="Arial" w:hAnsi="Arial" w:cs="Arial"/>
          <w:b/>
          <w:bCs/>
          <w:sz w:val="20"/>
          <w:szCs w:val="20"/>
          <w:lang w:eastAsia="nb-NO"/>
        </w:rPr>
        <w:t>Science, 327(5962), 152–153.</w:t>
      </w:r>
    </w:p>
    <w:p w14:paraId="394D34FB"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Fürst, M. A., McMahon, D. P., Osborne, J. L., Paxton, R. J., &amp; Brown, M. J. (2014). Disease associations between honeybees and bumblebees as a threat to wild pollinators. Nature, 506(7488), 364–366.</w:t>
      </w:r>
    </w:p>
    <w:p w14:paraId="61F65973"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McMahon, D. P., &amp; Fürst, M. A. (2016). Emerging viral disease risk to pollinating insects: ecological and evolutionary perspectives. Current Opinion in Insect Science, 16, 1–7.</w:t>
      </w:r>
    </w:p>
    <w:p w14:paraId="1D28C2E2"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 xml:space="preserve">Goulson, D., Nicholls, E., </w:t>
      </w:r>
      <w:proofErr w:type="spellStart"/>
      <w:r w:rsidRPr="007E6489">
        <w:rPr>
          <w:rFonts w:ascii="Arial" w:hAnsi="Arial" w:cs="Arial"/>
          <w:b/>
          <w:bCs/>
          <w:sz w:val="20"/>
          <w:szCs w:val="20"/>
          <w:lang w:val="en-GB" w:eastAsia="nb-NO"/>
        </w:rPr>
        <w:t>Botías</w:t>
      </w:r>
      <w:proofErr w:type="spellEnd"/>
      <w:r w:rsidRPr="007E6489">
        <w:rPr>
          <w:rFonts w:ascii="Arial" w:hAnsi="Arial" w:cs="Arial"/>
          <w:b/>
          <w:bCs/>
          <w:sz w:val="20"/>
          <w:szCs w:val="20"/>
          <w:lang w:val="en-GB" w:eastAsia="nb-NO"/>
        </w:rPr>
        <w:t xml:space="preserve">, C., &amp; </w:t>
      </w:r>
      <w:proofErr w:type="spellStart"/>
      <w:r w:rsidRPr="007E6489">
        <w:rPr>
          <w:rFonts w:ascii="Arial" w:hAnsi="Arial" w:cs="Arial"/>
          <w:b/>
          <w:bCs/>
          <w:sz w:val="20"/>
          <w:szCs w:val="20"/>
          <w:lang w:val="en-GB" w:eastAsia="nb-NO"/>
        </w:rPr>
        <w:t>Rotheray</w:t>
      </w:r>
      <w:proofErr w:type="spellEnd"/>
      <w:r w:rsidRPr="007E6489">
        <w:rPr>
          <w:rFonts w:ascii="Arial" w:hAnsi="Arial" w:cs="Arial"/>
          <w:b/>
          <w:bCs/>
          <w:sz w:val="20"/>
          <w:szCs w:val="20"/>
          <w:lang w:val="en-GB" w:eastAsia="nb-NO"/>
        </w:rPr>
        <w:t>, E. L. (2015). Bee declines driven by combined stress from parasites, pesticides, and lack of flowers. Science, 347(6229), 1255957.</w:t>
      </w:r>
    </w:p>
    <w:p w14:paraId="3FC91E76" w14:textId="77777777" w:rsidR="0028294F" w:rsidRPr="007E6489" w:rsidRDefault="0028294F" w:rsidP="007E6489">
      <w:pPr>
        <w:pStyle w:val="Listeavsnitt"/>
        <w:numPr>
          <w:ilvl w:val="0"/>
          <w:numId w:val="4"/>
        </w:numPr>
        <w:rPr>
          <w:rFonts w:ascii="Arial" w:hAnsi="Arial" w:cs="Arial"/>
          <w:b/>
          <w:bCs/>
          <w:sz w:val="20"/>
          <w:szCs w:val="20"/>
          <w:lang w:val="en-GB" w:eastAsia="nb-NO"/>
        </w:rPr>
      </w:pPr>
      <w:r w:rsidRPr="007E6489">
        <w:rPr>
          <w:rFonts w:ascii="Arial" w:hAnsi="Arial" w:cs="Arial"/>
          <w:b/>
          <w:bCs/>
          <w:sz w:val="20"/>
          <w:szCs w:val="20"/>
          <w:lang w:val="en-GB" w:eastAsia="nb-NO"/>
        </w:rPr>
        <w:t>Kerr, J. T., Pindar, A., Galpern, P., Packer, L., Potts, S. G., Roberts, S. M., ... &amp; Colla, S. R. (2015). Climate change impacts on bumblebees converge across continents. Science, 349(6244), 177–180.</w:t>
      </w:r>
    </w:p>
    <w:p w14:paraId="6CF72486" w14:textId="77777777" w:rsidR="0028294F" w:rsidRPr="007E6489" w:rsidRDefault="0028294F" w:rsidP="007E6489">
      <w:pPr>
        <w:pStyle w:val="Listeavsnitt"/>
        <w:numPr>
          <w:ilvl w:val="0"/>
          <w:numId w:val="4"/>
        </w:numPr>
        <w:rPr>
          <w:rFonts w:ascii="Arial" w:hAnsi="Arial" w:cs="Arial"/>
          <w:b/>
          <w:bCs/>
          <w:sz w:val="20"/>
          <w:szCs w:val="20"/>
          <w:lang w:eastAsia="nb-NO"/>
        </w:rPr>
      </w:pPr>
      <w:r w:rsidRPr="007E6489">
        <w:rPr>
          <w:rFonts w:ascii="Arial" w:hAnsi="Arial" w:cs="Arial"/>
          <w:b/>
          <w:bCs/>
          <w:sz w:val="20"/>
          <w:szCs w:val="20"/>
          <w:lang w:val="en-GB" w:eastAsia="nb-NO"/>
        </w:rPr>
        <w:t xml:space="preserve">European Food Safety Authority. (2018). Neonicotinoids: risks to bees confirmed. </w:t>
      </w:r>
      <w:r w:rsidRPr="007E6489">
        <w:rPr>
          <w:rFonts w:ascii="Arial" w:hAnsi="Arial" w:cs="Arial"/>
          <w:b/>
          <w:bCs/>
          <w:sz w:val="20"/>
          <w:szCs w:val="20"/>
          <w:lang w:eastAsia="nb-NO"/>
        </w:rPr>
        <w:t>EFSA Journal.</w:t>
      </w:r>
    </w:p>
    <w:p w14:paraId="39F34F83" w14:textId="77777777" w:rsidR="0028294F" w:rsidRPr="007E6489" w:rsidRDefault="0028294F" w:rsidP="007E6489">
      <w:pPr>
        <w:pStyle w:val="Listeavsnitt"/>
        <w:numPr>
          <w:ilvl w:val="0"/>
          <w:numId w:val="4"/>
        </w:numPr>
        <w:rPr>
          <w:rFonts w:ascii="Arial" w:hAnsi="Arial" w:cs="Arial"/>
          <w:b/>
          <w:bCs/>
          <w:sz w:val="20"/>
          <w:szCs w:val="20"/>
          <w:lang w:eastAsia="nb-NO"/>
        </w:rPr>
      </w:pPr>
      <w:r w:rsidRPr="007E6489">
        <w:rPr>
          <w:rFonts w:ascii="Arial" w:hAnsi="Arial" w:cs="Arial"/>
          <w:b/>
          <w:bCs/>
          <w:sz w:val="20"/>
          <w:szCs w:val="20"/>
          <w:lang w:eastAsia="nb-NO"/>
        </w:rPr>
        <w:t xml:space="preserve">Norges Birøkterlag. (2023). </w:t>
      </w:r>
      <w:proofErr w:type="spellStart"/>
      <w:r w:rsidRPr="007E6489">
        <w:rPr>
          <w:rFonts w:ascii="Arial" w:hAnsi="Arial" w:cs="Arial"/>
          <w:b/>
          <w:bCs/>
          <w:sz w:val="20"/>
          <w:szCs w:val="20"/>
          <w:lang w:eastAsia="nb-NO"/>
        </w:rPr>
        <w:t>Varroa</w:t>
      </w:r>
      <w:proofErr w:type="spellEnd"/>
      <w:r w:rsidRPr="007E6489">
        <w:rPr>
          <w:rFonts w:ascii="Arial" w:hAnsi="Arial" w:cs="Arial"/>
          <w:b/>
          <w:bCs/>
          <w:sz w:val="20"/>
          <w:szCs w:val="20"/>
          <w:lang w:eastAsia="nb-NO"/>
        </w:rPr>
        <w:t>—status, behandling og forebygging. Norges Birøkterlag.</w:t>
      </w:r>
    </w:p>
    <w:p w14:paraId="463E3971" w14:textId="77777777" w:rsidR="0028294F" w:rsidRDefault="0028294F" w:rsidP="007E6489">
      <w:pPr>
        <w:pStyle w:val="Listeavsnitt"/>
        <w:numPr>
          <w:ilvl w:val="0"/>
          <w:numId w:val="4"/>
        </w:numPr>
        <w:rPr>
          <w:rFonts w:ascii="Arial" w:hAnsi="Arial" w:cs="Arial"/>
          <w:b/>
          <w:bCs/>
          <w:sz w:val="20"/>
          <w:szCs w:val="20"/>
          <w:lang w:eastAsia="nb-NO"/>
        </w:rPr>
      </w:pPr>
      <w:proofErr w:type="spellStart"/>
      <w:r w:rsidRPr="007E6489">
        <w:rPr>
          <w:rFonts w:ascii="Arial" w:hAnsi="Arial" w:cs="Arial"/>
          <w:b/>
          <w:bCs/>
          <w:sz w:val="20"/>
          <w:szCs w:val="20"/>
          <w:lang w:eastAsia="nb-NO"/>
        </w:rPr>
        <w:t>Vetinst</w:t>
      </w:r>
      <w:proofErr w:type="spellEnd"/>
      <w:r w:rsidRPr="007E6489">
        <w:rPr>
          <w:rFonts w:ascii="Arial" w:hAnsi="Arial" w:cs="Arial"/>
          <w:b/>
          <w:bCs/>
          <w:sz w:val="20"/>
          <w:szCs w:val="20"/>
          <w:lang w:eastAsia="nb-NO"/>
        </w:rPr>
        <w:t xml:space="preserve"> (Veterinærinstituttet). (2024). </w:t>
      </w:r>
      <w:proofErr w:type="spellStart"/>
      <w:r w:rsidRPr="007E6489">
        <w:rPr>
          <w:rFonts w:ascii="Arial" w:hAnsi="Arial" w:cs="Arial"/>
          <w:b/>
          <w:bCs/>
          <w:sz w:val="20"/>
          <w:szCs w:val="20"/>
          <w:lang w:eastAsia="nb-NO"/>
        </w:rPr>
        <w:t>Varroa</w:t>
      </w:r>
      <w:proofErr w:type="spellEnd"/>
      <w:r w:rsidRPr="007E6489">
        <w:rPr>
          <w:rFonts w:ascii="Arial" w:hAnsi="Arial" w:cs="Arial"/>
          <w:b/>
          <w:bCs/>
          <w:sz w:val="20"/>
          <w:szCs w:val="20"/>
          <w:lang w:eastAsia="nb-NO"/>
        </w:rPr>
        <w:t>-status i Norge. Veterinærinstituttet.</w:t>
      </w:r>
    </w:p>
    <w:p w14:paraId="059C6E55" w14:textId="6298DDFC" w:rsidR="00BA679F" w:rsidRPr="007E6489" w:rsidRDefault="00BA679F" w:rsidP="007E6489">
      <w:pPr>
        <w:pStyle w:val="Listeavsnitt"/>
        <w:numPr>
          <w:ilvl w:val="0"/>
          <w:numId w:val="4"/>
        </w:numPr>
        <w:rPr>
          <w:rFonts w:ascii="Arial" w:hAnsi="Arial" w:cs="Arial"/>
          <w:b/>
          <w:bCs/>
          <w:sz w:val="20"/>
          <w:szCs w:val="20"/>
          <w:lang w:eastAsia="nb-NO"/>
        </w:rPr>
      </w:pPr>
      <w:r w:rsidRPr="00BA679F">
        <w:rPr>
          <w:rFonts w:ascii="Arial" w:hAnsi="Arial" w:cs="Arial"/>
          <w:b/>
          <w:bCs/>
          <w:sz w:val="20"/>
          <w:szCs w:val="20"/>
          <w:lang w:eastAsia="nb-NO"/>
        </w:rPr>
        <w:t xml:space="preserve">Clarion Hotel The </w:t>
      </w:r>
      <w:proofErr w:type="spellStart"/>
      <w:r w:rsidRPr="00BA679F">
        <w:rPr>
          <w:rFonts w:ascii="Arial" w:hAnsi="Arial" w:cs="Arial"/>
          <w:b/>
          <w:bCs/>
          <w:sz w:val="20"/>
          <w:szCs w:val="20"/>
          <w:lang w:eastAsia="nb-NO"/>
        </w:rPr>
        <w:t>Hub</w:t>
      </w:r>
      <w:proofErr w:type="spellEnd"/>
      <w:r w:rsidRPr="00BA679F">
        <w:rPr>
          <w:rFonts w:ascii="Arial" w:hAnsi="Arial" w:cs="Arial"/>
          <w:b/>
          <w:bCs/>
          <w:sz w:val="20"/>
          <w:szCs w:val="20"/>
          <w:lang w:eastAsia="nb-NO"/>
        </w:rPr>
        <w:t xml:space="preserve">. (2023). </w:t>
      </w:r>
      <w:proofErr w:type="spellStart"/>
      <w:r w:rsidRPr="00BA679F">
        <w:rPr>
          <w:rFonts w:ascii="Arial" w:hAnsi="Arial" w:cs="Arial"/>
          <w:b/>
          <w:bCs/>
          <w:sz w:val="20"/>
          <w:szCs w:val="20"/>
          <w:lang w:eastAsia="nb-NO"/>
        </w:rPr>
        <w:t>GrowHub</w:t>
      </w:r>
      <w:proofErr w:type="spellEnd"/>
      <w:r w:rsidRPr="00BA679F">
        <w:rPr>
          <w:rFonts w:ascii="Arial" w:hAnsi="Arial" w:cs="Arial"/>
          <w:b/>
          <w:bCs/>
          <w:sz w:val="20"/>
          <w:szCs w:val="20"/>
          <w:lang w:eastAsia="nb-NO"/>
        </w:rPr>
        <w:t xml:space="preserve"> – Nordens største </w:t>
      </w:r>
      <w:proofErr w:type="spellStart"/>
      <w:r w:rsidRPr="00BA679F">
        <w:rPr>
          <w:rFonts w:ascii="Arial" w:hAnsi="Arial" w:cs="Arial"/>
          <w:b/>
          <w:bCs/>
          <w:sz w:val="20"/>
          <w:szCs w:val="20"/>
          <w:lang w:eastAsia="nb-NO"/>
        </w:rPr>
        <w:t>takåker</w:t>
      </w:r>
      <w:proofErr w:type="spellEnd"/>
      <w:r w:rsidRPr="00BA679F">
        <w:rPr>
          <w:rFonts w:ascii="Arial" w:hAnsi="Arial" w:cs="Arial"/>
          <w:b/>
          <w:bCs/>
          <w:sz w:val="20"/>
          <w:szCs w:val="20"/>
          <w:lang w:eastAsia="nb-NO"/>
        </w:rPr>
        <w:t>.</w:t>
      </w:r>
    </w:p>
    <w:p w14:paraId="46CE4206" w14:textId="77777777" w:rsidR="00075730" w:rsidRPr="007E6489" w:rsidRDefault="00075730" w:rsidP="007E6489">
      <w:pPr>
        <w:rPr>
          <w:rFonts w:ascii="Arial" w:hAnsi="Arial" w:cs="Arial"/>
          <w:b/>
          <w:bCs/>
          <w:sz w:val="20"/>
          <w:szCs w:val="20"/>
        </w:rPr>
      </w:pPr>
    </w:p>
    <w:p w14:paraId="68A27899" w14:textId="785B1CE1" w:rsidR="00022579" w:rsidRPr="0099299B" w:rsidRDefault="00022579" w:rsidP="0099299B">
      <w:pPr>
        <w:rPr>
          <w:rFonts w:ascii="Arial" w:hAnsi="Arial" w:cs="Arial"/>
          <w:b/>
          <w:bCs/>
        </w:rPr>
      </w:pPr>
    </w:p>
    <w:sectPr w:rsidR="00022579" w:rsidRPr="009929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B0269"/>
    <w:multiLevelType w:val="hybridMultilevel"/>
    <w:tmpl w:val="65D63E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C562106"/>
    <w:multiLevelType w:val="hybridMultilevel"/>
    <w:tmpl w:val="1E82B2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67086D"/>
    <w:multiLevelType w:val="hybridMultilevel"/>
    <w:tmpl w:val="F61053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8976D01"/>
    <w:multiLevelType w:val="hybridMultilevel"/>
    <w:tmpl w:val="F7E813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85760365">
    <w:abstractNumId w:val="3"/>
  </w:num>
  <w:num w:numId="2" w16cid:durableId="453134131">
    <w:abstractNumId w:val="1"/>
  </w:num>
  <w:num w:numId="3" w16cid:durableId="459613229">
    <w:abstractNumId w:val="0"/>
  </w:num>
  <w:num w:numId="4" w16cid:durableId="1942777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28"/>
    <w:rsid w:val="00022579"/>
    <w:rsid w:val="00075730"/>
    <w:rsid w:val="00096B24"/>
    <w:rsid w:val="000C7970"/>
    <w:rsid w:val="0014424C"/>
    <w:rsid w:val="001C2144"/>
    <w:rsid w:val="001D4815"/>
    <w:rsid w:val="001F1C4B"/>
    <w:rsid w:val="00230EA1"/>
    <w:rsid w:val="002357B1"/>
    <w:rsid w:val="00270FD8"/>
    <w:rsid w:val="0028294F"/>
    <w:rsid w:val="002E6F1B"/>
    <w:rsid w:val="00352B9C"/>
    <w:rsid w:val="003A707A"/>
    <w:rsid w:val="003F14C0"/>
    <w:rsid w:val="004274DE"/>
    <w:rsid w:val="00481BBD"/>
    <w:rsid w:val="004B5BDA"/>
    <w:rsid w:val="004C2AB9"/>
    <w:rsid w:val="004E2E70"/>
    <w:rsid w:val="00527B40"/>
    <w:rsid w:val="00600B80"/>
    <w:rsid w:val="006C0774"/>
    <w:rsid w:val="00777446"/>
    <w:rsid w:val="007E6489"/>
    <w:rsid w:val="008175DE"/>
    <w:rsid w:val="00820B4E"/>
    <w:rsid w:val="0084416E"/>
    <w:rsid w:val="008A5525"/>
    <w:rsid w:val="008B0886"/>
    <w:rsid w:val="009519A0"/>
    <w:rsid w:val="0099299B"/>
    <w:rsid w:val="009A3DB3"/>
    <w:rsid w:val="00A029E1"/>
    <w:rsid w:val="00A44ACA"/>
    <w:rsid w:val="00A504A8"/>
    <w:rsid w:val="00AA106E"/>
    <w:rsid w:val="00AA2283"/>
    <w:rsid w:val="00AA60C4"/>
    <w:rsid w:val="00AB29E6"/>
    <w:rsid w:val="00AC503E"/>
    <w:rsid w:val="00B4461D"/>
    <w:rsid w:val="00BA6196"/>
    <w:rsid w:val="00BA679F"/>
    <w:rsid w:val="00C74DDA"/>
    <w:rsid w:val="00D002E0"/>
    <w:rsid w:val="00D17737"/>
    <w:rsid w:val="00D304B7"/>
    <w:rsid w:val="00DD118B"/>
    <w:rsid w:val="00DF3B6E"/>
    <w:rsid w:val="00EF7DF4"/>
    <w:rsid w:val="00F240EB"/>
    <w:rsid w:val="00F37B06"/>
    <w:rsid w:val="00F70B28"/>
    <w:rsid w:val="00F951BB"/>
    <w:rsid w:val="00FF1D2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7ACCC"/>
  <w15:chartTrackingRefBased/>
  <w15:docId w15:val="{7E91A69A-79D4-4E58-ABD8-6BBC621F2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70B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70B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70B2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70B2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70B2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70B2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70B2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70B2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70B2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70B2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70B2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70B28"/>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70B28"/>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70B28"/>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70B2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70B2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70B2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70B28"/>
    <w:rPr>
      <w:rFonts w:eastAsiaTheme="majorEastAsia" w:cstheme="majorBidi"/>
      <w:color w:val="272727" w:themeColor="text1" w:themeTint="D8"/>
    </w:rPr>
  </w:style>
  <w:style w:type="paragraph" w:styleId="Tittel">
    <w:name w:val="Title"/>
    <w:basedOn w:val="Normal"/>
    <w:next w:val="Normal"/>
    <w:link w:val="TittelTegn"/>
    <w:uiPriority w:val="10"/>
    <w:qFormat/>
    <w:rsid w:val="00F70B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70B2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70B2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70B2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70B2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70B28"/>
    <w:rPr>
      <w:i/>
      <w:iCs/>
      <w:color w:val="404040" w:themeColor="text1" w:themeTint="BF"/>
    </w:rPr>
  </w:style>
  <w:style w:type="paragraph" w:styleId="Listeavsnitt">
    <w:name w:val="List Paragraph"/>
    <w:basedOn w:val="Normal"/>
    <w:uiPriority w:val="34"/>
    <w:qFormat/>
    <w:rsid w:val="00F70B28"/>
    <w:pPr>
      <w:ind w:left="720"/>
      <w:contextualSpacing/>
    </w:pPr>
  </w:style>
  <w:style w:type="character" w:styleId="Sterkutheving">
    <w:name w:val="Intense Emphasis"/>
    <w:basedOn w:val="Standardskriftforavsnitt"/>
    <w:uiPriority w:val="21"/>
    <w:qFormat/>
    <w:rsid w:val="00F70B28"/>
    <w:rPr>
      <w:i/>
      <w:iCs/>
      <w:color w:val="0F4761" w:themeColor="accent1" w:themeShade="BF"/>
    </w:rPr>
  </w:style>
  <w:style w:type="paragraph" w:styleId="Sterktsitat">
    <w:name w:val="Intense Quote"/>
    <w:basedOn w:val="Normal"/>
    <w:next w:val="Normal"/>
    <w:link w:val="SterktsitatTegn"/>
    <w:uiPriority w:val="30"/>
    <w:qFormat/>
    <w:rsid w:val="00F70B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70B28"/>
    <w:rPr>
      <w:i/>
      <w:iCs/>
      <w:color w:val="0F4761" w:themeColor="accent1" w:themeShade="BF"/>
    </w:rPr>
  </w:style>
  <w:style w:type="character" w:styleId="Sterkreferanse">
    <w:name w:val="Intense Reference"/>
    <w:basedOn w:val="Standardskriftforavsnitt"/>
    <w:uiPriority w:val="32"/>
    <w:qFormat/>
    <w:rsid w:val="00F70B28"/>
    <w:rPr>
      <w:b/>
      <w:bCs/>
      <w:smallCaps/>
      <w:color w:val="0F4761" w:themeColor="accent1" w:themeShade="BF"/>
      <w:spacing w:val="5"/>
    </w:rPr>
  </w:style>
  <w:style w:type="table" w:styleId="Tabellrutenett">
    <w:name w:val="Table Grid"/>
    <w:basedOn w:val="Vanligtabell"/>
    <w:uiPriority w:val="39"/>
    <w:rsid w:val="00D30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453</TotalTime>
  <Pages>8</Pages>
  <Words>2300</Words>
  <Characters>12194</Characters>
  <Application>Microsoft Office Word</Application>
  <DocSecurity>0</DocSecurity>
  <Lines>101</Lines>
  <Paragraphs>28</Paragraphs>
  <ScaleCrop>false</ScaleCrop>
  <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54</cp:revision>
  <dcterms:created xsi:type="dcterms:W3CDTF">2026-04-01T08:33:00Z</dcterms:created>
  <dcterms:modified xsi:type="dcterms:W3CDTF">2026-04-01T17:09:00Z</dcterms:modified>
</cp:coreProperties>
</file>